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7C8C">
      <w:pPr>
        <w:widowControl/>
        <w:spacing w:line="600" w:lineRule="exact"/>
        <w:jc w:val="center"/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  <w:lang w:eastAsia="zh-CN"/>
        </w:rPr>
        <w:t>相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  <w:lang w:eastAsia="zh-CN"/>
        </w:rPr>
        <w:t>关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</w:rPr>
        <w:t>说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</w:rPr>
        <w:t>明</w:t>
      </w:r>
    </w:p>
    <w:p w14:paraId="3777250F">
      <w:pPr>
        <w:widowControl/>
        <w:spacing w:line="600" w:lineRule="exact"/>
        <w:jc w:val="left"/>
        <w:rPr>
          <w:rFonts w:hint="eastAsia" w:ascii="仿宋" w:hAnsi="仿宋" w:eastAsia="仿宋" w:cs="仿宋"/>
          <w:b w:val="0"/>
          <w:bCs/>
          <w:kern w:val="0"/>
          <w:sz w:val="30"/>
          <w:szCs w:val="30"/>
          <w:highlight w:val="none"/>
          <w:lang w:eastAsia="zh-CN"/>
        </w:rPr>
      </w:pPr>
    </w:p>
    <w:p w14:paraId="3EA5DD5C">
      <w:pPr>
        <w:widowControl/>
        <w:spacing w:line="600" w:lineRule="exact"/>
        <w:jc w:val="left"/>
        <w:rPr>
          <w:rFonts w:hint="eastAsia" w:ascii="仿宋" w:hAnsi="仿宋" w:eastAsia="仿宋" w:cs="仿宋"/>
          <w:b w:val="0"/>
          <w:bCs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highlight w:val="none"/>
          <w:lang w:val="en-US" w:eastAsia="zh-CN"/>
        </w:rPr>
        <w:t xml:space="preserve"> 税收返还和转移支付情况</w:t>
      </w:r>
    </w:p>
    <w:p w14:paraId="54AE167A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  <w:t>（一）税收返还</w:t>
      </w:r>
    </w:p>
    <w:p w14:paraId="630E8888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税收返还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17825万元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增值税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消费税税收返还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11226万元，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所得税基数返还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1839万元，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成品油税费改革税收返还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2857万元，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其他税收返还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1903万元。</w:t>
      </w:r>
    </w:p>
    <w:p w14:paraId="0D29ADF6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  <w:t>（二）一般性转移支付</w:t>
      </w:r>
    </w:p>
    <w:p w14:paraId="4300354B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  <w:t>一般性转移支付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  <w:lang w:val="en-US" w:eastAsia="zh-CN"/>
        </w:rPr>
        <w:t>413808万元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  <w:t>，比上年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  <w:lang w:val="en-US" w:eastAsia="zh-CN"/>
        </w:rPr>
        <w:t xml:space="preserve">增加 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23152万元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，增长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5.93%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，主要是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eastAsia="zh-CN"/>
        </w:rPr>
        <w:t>提高了一般性转移支付编制率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。</w:t>
      </w:r>
    </w:p>
    <w:p w14:paraId="59312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结算补助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8754万元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, 比上年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减少2216万元，降低20.20 % ；</w:t>
      </w:r>
    </w:p>
    <w:p w14:paraId="02B5DCCF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均衡性转移支付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141000万元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, 比上年增加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9480万元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，增长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7.21 %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5D4A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县级基本财力保障机制奖补资金收入54800万元，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比上年增加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9175万元，增长20.11  % ；</w:t>
      </w:r>
    </w:p>
    <w:p w14:paraId="4B3D0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企业事业单位划转补助收入994万元，与上年持平；</w:t>
      </w:r>
    </w:p>
    <w:p w14:paraId="2FE83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产粮（油）大县奖励资金收入5300万元，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减少700万元，降低11.67 % ；</w:t>
      </w:r>
    </w:p>
    <w:p w14:paraId="5A37A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革命老区转移支付收入260万元，与上年持平；</w:t>
      </w:r>
    </w:p>
    <w:p w14:paraId="096BD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贫困地区转移支付收入7300万元，与上年持平；</w:t>
      </w:r>
    </w:p>
    <w:p w14:paraId="48290D06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固定数额补助收入19205万元，与上年持平；</w:t>
      </w:r>
    </w:p>
    <w:p w14:paraId="6DF687D4">
      <w:p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资源枯竭型城市转移支付补助收入1121万元，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1123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2万元，降低0.18 % ；</w:t>
      </w:r>
    </w:p>
    <w:p w14:paraId="2B8B8B3A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其他一般性转移支付收入138万元，与上年持平；</w:t>
      </w:r>
    </w:p>
    <w:p w14:paraId="2B6500A1">
      <w:p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公共安全共同财政事权转移支付收入2212万元，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比上年增加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462万元，增长 26.40% ；</w:t>
      </w:r>
    </w:p>
    <w:p w14:paraId="24E584E3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教育共同财政事权转移支付收入28000万元，比上年增加1758万元，增长 6.70% ；</w:t>
      </w:r>
    </w:p>
    <w:p w14:paraId="6CADE0D5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文化旅游体育与传媒共同财政事权转移支付收入750万元，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1250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500万元，降低40% ；</w:t>
      </w:r>
    </w:p>
    <w:p w14:paraId="6713207A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社会保障与就业共同财政事权转移支付收入71847万元，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比上年增加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8668万元，增长 13.72 % ；</w:t>
      </w:r>
    </w:p>
    <w:p w14:paraId="64112734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卫生健康共同财政事权转移支付收入16757万元，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比上年增加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428万元，增长2.62% ；</w:t>
      </w:r>
    </w:p>
    <w:p w14:paraId="4A145010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农林水共同财政事权转移支付收入40000万元，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减少503万元，降低1.24%；</w:t>
      </w:r>
    </w:p>
    <w:p w14:paraId="3A06A7B3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住房保障共同财政事权转移支付收入5000万元；比上年增加1700万元，增长51.52% ；</w:t>
      </w:r>
    </w:p>
    <w:p w14:paraId="698B9931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交通运输共同财政事权转移支付收入7700万元，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11000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3300万元，降低30  % ；     </w:t>
      </w:r>
    </w:p>
    <w:p w14:paraId="0CCAF87C">
      <w:pPr>
        <w:spacing w:line="600" w:lineRule="exact"/>
        <w:ind w:firstLine="600"/>
        <w:rPr>
          <w:rFonts w:hint="default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科学技术共同财政事权转移支付收入70万元，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50万元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20万元，增长40 %；  ，</w:t>
      </w:r>
    </w:p>
    <w:p w14:paraId="0733AB27">
      <w:pPr>
        <w:spacing w:line="600" w:lineRule="exact"/>
        <w:ind w:firstLine="6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根据上年度收入情况预计。粮油储备同财政事权转移支付收入400万元，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218万元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182万元，增长83.49%； </w:t>
      </w:r>
    </w:p>
    <w:p w14:paraId="018BC16D"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灾害防治及应急管理共同财政事权转移支付收入200万元，与上年持平；</w:t>
      </w:r>
    </w:p>
    <w:p w14:paraId="5522D1DF">
      <w:p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其他共同财政事权转移支付收入2000万元，本年新增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  <w:lang w:val="en-US" w:eastAsia="zh-CN"/>
        </w:rPr>
        <w:t>。</w:t>
      </w:r>
    </w:p>
    <w:p w14:paraId="6C8F6FE9">
      <w:pPr>
        <w:spacing w:line="58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  <w:t>（三）专项转移支付</w:t>
      </w:r>
    </w:p>
    <w:p w14:paraId="0CC61480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专项转移支付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50000万元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，比上年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10000万元，增长25% 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是根据上年度情况预计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7779E85">
      <w:pPr>
        <w:numPr>
          <w:ilvl w:val="0"/>
          <w:numId w:val="0"/>
        </w:numPr>
        <w:ind w:leftChars="0" w:firstLine="600" w:firstLineChars="200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eastAsia="zh-CN"/>
        </w:rPr>
        <w:t>一般公共服务支出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3157万元，比上年增加1000万元，增长46 %；</w:t>
      </w:r>
    </w:p>
    <w:p w14:paraId="64A85396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eastAsia="zh-CN"/>
        </w:rPr>
        <w:t>教育支出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2723万元，比上年增加2000万元，增长270 %，根据上年度情况调增；</w:t>
      </w:r>
    </w:p>
    <w:p w14:paraId="478CD9B6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公共安全支出226万元，与上年持平；</w:t>
      </w:r>
    </w:p>
    <w:p w14:paraId="41A20DA2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科学技术支出409万元，与上年持平；</w:t>
      </w:r>
    </w:p>
    <w:p w14:paraId="5FC43019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文化体育传媒支出270万元，与上年持平；</w:t>
      </w:r>
    </w:p>
    <w:p w14:paraId="1CC3DDEA">
      <w:pPr>
        <w:numPr>
          <w:ilvl w:val="0"/>
          <w:numId w:val="0"/>
        </w:numPr>
        <w:ind w:leftChars="0" w:firstLine="600" w:firstLineChars="200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社会保障就业支出2548万元，比上年增加2000万元，增长364 %；</w:t>
      </w:r>
    </w:p>
    <w:p w14:paraId="68915587">
      <w:pPr>
        <w:numPr>
          <w:ilvl w:val="0"/>
          <w:numId w:val="0"/>
        </w:numPr>
        <w:ind w:leftChars="0" w:firstLine="600" w:firstLineChars="200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卫生健康支出2890万元，比上年增加1000万元，增长53 %；</w:t>
      </w:r>
    </w:p>
    <w:p w14:paraId="7E122841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节能环保支出4387万元，与上年持平；</w:t>
      </w:r>
    </w:p>
    <w:p w14:paraId="7A0230BF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城乡社区支出663万元，比上年增加479万元，增长260 %，根据上年度情况调增；</w:t>
      </w:r>
    </w:p>
    <w:p w14:paraId="396929E4">
      <w:pPr>
        <w:numPr>
          <w:ilvl w:val="0"/>
          <w:numId w:val="0"/>
        </w:numPr>
        <w:ind w:leftChars="0" w:firstLine="600" w:firstLineChars="200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农林水支出17222万元，比上年增加3000万元，增长21%；</w:t>
      </w:r>
    </w:p>
    <w:p w14:paraId="0E731C42"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交通运输支出3504万元，比上年增加1000万元，增长39 %；</w:t>
      </w:r>
    </w:p>
    <w:p w14:paraId="570068B6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资源勘探工业信息支出1987万元，与上年持平；</w:t>
      </w:r>
    </w:p>
    <w:p w14:paraId="35742025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商业服务等支出1895万元，与上年持平；</w:t>
      </w:r>
    </w:p>
    <w:p w14:paraId="148DB717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金融支出73万元，与上年持平；</w:t>
      </w:r>
    </w:p>
    <w:p w14:paraId="4092FF5F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自然资源海洋气象支出842万元，与上年持平；</w:t>
      </w:r>
    </w:p>
    <w:p w14:paraId="2D358AC1">
      <w:pPr>
        <w:numPr>
          <w:ilvl w:val="0"/>
          <w:numId w:val="0"/>
        </w:numPr>
        <w:ind w:leftChars="0" w:firstLine="600" w:firstLineChars="200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住房和保障支出1854万元，比上年减少1000万元，降低35 %；</w:t>
      </w:r>
    </w:p>
    <w:p w14:paraId="2133C351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粮油物资储备支出42万元，与上年持平；</w:t>
      </w:r>
    </w:p>
    <w:p w14:paraId="3FE49B6D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灾害防治及应急管理支出1308万元，与上年持平；</w:t>
      </w:r>
    </w:p>
    <w:p w14:paraId="2989BC1F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其他支出4000万元，比上年增加521万元，增长15%；</w:t>
      </w:r>
    </w:p>
    <w:p w14:paraId="762CC07A">
      <w:pPr>
        <w:spacing w:line="580" w:lineRule="exact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二、举借政府债务情况</w:t>
      </w:r>
    </w:p>
    <w:p w14:paraId="41570D57">
      <w:pPr>
        <w:spacing w:line="580" w:lineRule="exact"/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（一）地方政府债务限额余额情况</w:t>
      </w:r>
    </w:p>
    <w:p w14:paraId="33885E13">
      <w:pPr>
        <w:spacing w:line="58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年，政府债务总限额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 xml:space="preserve"> 109.36亿元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，其中一般债务限额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 xml:space="preserve">   36.8亿元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，专项债务限额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72.56亿元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。截止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年底，地方政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府债务余额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108.61亿元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，其中一般债务余额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36.97亿元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，专项债务余额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72.56亿元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。</w:t>
      </w:r>
    </w:p>
    <w:p w14:paraId="1D0030E0">
      <w:pPr>
        <w:spacing w:line="58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  <w:t>（二）地方政府债券发行情况</w:t>
      </w:r>
    </w:p>
    <w:p w14:paraId="6A56C3F1">
      <w:pPr>
        <w:spacing w:line="580" w:lineRule="exact"/>
        <w:ind w:left="596" w:leftChars="284" w:firstLine="0" w:firstLineChars="0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年，省转贷新增债务限额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28.02亿元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，其中一般债务限额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1.99亿元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，专项债务限额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26.03亿元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eastAsia="zh-CN"/>
        </w:rPr>
        <w:t>现已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发行一般债券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 xml:space="preserve"> 1.85亿元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，平均期限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平均利率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 xml:space="preserve"> 2.44%。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专项债券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26.03亿元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，平均期限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年，平均利率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2.33% 。</w:t>
      </w:r>
    </w:p>
    <w:p w14:paraId="282A66CC">
      <w:pPr>
        <w:numPr>
          <w:ilvl w:val="0"/>
          <w:numId w:val="1"/>
        </w:numPr>
        <w:spacing w:line="58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  <w:t>地方政府债务还本付息情况</w:t>
      </w:r>
    </w:p>
    <w:p w14:paraId="656CD4C6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2024年偿还政府债务本金7.4亿元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其中一般债券5.41亿元、专项债券1.99亿元，置换债券还本不属于政府债务还本）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，支付利息2.61亿元。</w:t>
      </w:r>
    </w:p>
    <w:p w14:paraId="47369028">
      <w:pPr>
        <w:spacing w:line="580" w:lineRule="exact"/>
        <w:ind w:firstLine="600" w:firstLineChars="200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2025年，政府债务应还本付息6.04亿元，其中：一般债券本金2.77亿元，一般债券利息1.05亿元；专项债券本金0.2亿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元，专项债券利息2.02亿元。</w:t>
      </w:r>
    </w:p>
    <w:p w14:paraId="1F6A7904">
      <w:pPr>
        <w:rPr>
          <w:b w:val="0"/>
          <w:bCs/>
        </w:rPr>
      </w:pPr>
    </w:p>
    <w:p w14:paraId="66FD1542">
      <w:pPr>
        <w:spacing w:line="58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  <w:lang w:eastAsia="zh-CN"/>
        </w:rPr>
      </w:pPr>
      <w:r>
        <w:rPr>
          <w:rFonts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年的新增债务情况，待省级下达全年新增债务限额后，纳入202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年预算调整方案。</w:t>
      </w:r>
    </w:p>
    <w:p w14:paraId="59E88AA9">
      <w:pPr>
        <w:spacing w:line="580" w:lineRule="exact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  <w:lang w:eastAsia="zh-CN"/>
        </w:rPr>
        <w:t>三、“三公”经费情况</w:t>
      </w:r>
    </w:p>
    <w:p w14:paraId="14D5BD0C">
      <w:pPr>
        <w:spacing w:line="580" w:lineRule="exact"/>
        <w:ind w:firstLine="600" w:firstLineChars="200"/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市本级部门，包括市级行政单位（含参照公务员法管理的事业单位）、事业单位和其他单位使用当年一般公共预算拨款安排的202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年“三公经费”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汇总数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1625.35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万元，其中：因公出国（境）费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降低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5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公务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接待费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427.35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17.61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降低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4 %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公务用车购置及运行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费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1178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万元（其中公务用车购置费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260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万元，公务用车运行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费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918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万元）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与上年持平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年市级“三公经费”预算汇总数较上年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1481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降低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1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，下降原因是厉行节约压缩开支严控“三公经费”。</w:t>
      </w:r>
    </w:p>
    <w:p w14:paraId="176A2C83">
      <w:pPr>
        <w:spacing w:line="580" w:lineRule="exact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  <w:lang w:eastAsia="zh-CN"/>
        </w:rPr>
      </w:pPr>
    </w:p>
    <w:p w14:paraId="03E37B55">
      <w:pPr>
        <w:spacing w:line="580" w:lineRule="exact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</w:rPr>
        <w:t>、预算绩效管理工作开展情况</w:t>
      </w:r>
    </w:p>
    <w:p w14:paraId="0295F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一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主要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工作开展情况</w:t>
      </w:r>
    </w:p>
    <w:p w14:paraId="58D21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按照“统一领导、分级管理；程序规范，重点突出；客观公正，公开透明”的原则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基本构建起“预算编制有目标、预算执行有监控、预算完成有评价、评价结果有反馈、反馈结果有应用”的预算绩效管理机制和覆盖预算管理事前、事中、事后全过程的预算绩效管理体系，有效提高了财政资金使用绩效。</w:t>
      </w:r>
    </w:p>
    <w:p w14:paraId="13425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做优事前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绩效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目标评价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将预算项目绩效目标事前评价与预算编制紧密结合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，在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预算编制过程中，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所有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预算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实现了预算绩效目标与部门预算同步申报、同步审核、同步批复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各预算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单位在预算一体化系统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申报项目库时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同步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编制预算绩效目标，通过设定便于衡量、分析、比较和评价的靶向目标，细化量化预算绩效目标个性指标，确保项目建设严格按既定绩效目标运行。</w:t>
      </w:r>
    </w:p>
    <w:p w14:paraId="41DA3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做细事中预算绩效监控。下达预算资金指标时同步下达部门预算绩效目标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，进行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实时动态监控。以预算批复时确定的预算绩效目标为基准，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审核把关各单位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年预算绩效监控情况表，通过事中绩效监控完善项目管理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落实支出责任，进一步加快预算执行进度，更好地实现绩效目标。</w:t>
      </w:r>
    </w:p>
    <w:p w14:paraId="3B22F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3、做实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事后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预算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绩效评价。将绩效自评与第三方机构评价紧密结合，积极开展预算单位绩效自评。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2024年，各预算单位在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内网绩效系统报送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2023年度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整体支出与项目支出绩效自评，包括自评表及自评报告等。</w:t>
      </w:r>
    </w:p>
    <w:p w14:paraId="2983C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推进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预算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绩效信息公开。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在扎实推进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预决算公开的同时，要求各预算单位将审核合格后的绩效目标申报表同步公开，一级预算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整体支出绩效目标公开率达100%，专项（项目）绩效目标公开率达100%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同时在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政府门户网站公开单位自评报告和部分重点支出绩效评价报告。</w:t>
      </w:r>
    </w:p>
    <w:p w14:paraId="2FAE1A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下一步工作打算</w:t>
      </w:r>
    </w:p>
    <w:p w14:paraId="1E14F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1、牢固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树立预算绩效管理意识。加快推进预算绩效体系建设，切实引导各预算单位牢固树立绩效意识，强化预算约束和执行管控，提高绩效评价结果运用水平，从根本上断绝“一刀切”和“等靠要”思想，逐步实现“花钱必问效，无效必问责”的常态机制，切实提高财政资源配置效率和使用效益。</w:t>
      </w:r>
    </w:p>
    <w:p w14:paraId="5FE69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强化绩效管理组织队伍建设。培养本土化的预算绩效管理专业人才队伍，通过“请进来，走出去”的方式积极组织绩效专题培训、实践锻炼和工作交流，加大交流培优力度，全方位提升绩效从业干部专业能力、综合素养和实践经验，培养一支高素质、专业化的绩效管理团队，为财政绩效管理提供坚实的人才支撑。</w:t>
      </w:r>
    </w:p>
    <w:p w14:paraId="1C40C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深入推进预算与绩效管理融合。建立事前绩效评估、事中绩效监控、事后绩效评价的全过程、全方位、全覆盖信息化系统，完善绩效项目库、指标体系建设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通过信息系统获取绩效管理数据，加强预算绩效分析研判，为绩效管理工作提供技术支撑，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进一步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提高绩效评价结果的科学性，促进绩效信息公开共享。</w:t>
      </w:r>
    </w:p>
    <w:p w14:paraId="24EC794E">
      <w:pPr>
        <w:ind w:firstLine="600" w:firstLineChars="200"/>
        <w:jc w:val="righ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 w14:paraId="0CB14AC0">
      <w:pPr>
        <w:ind w:firstLine="600" w:firstLineChars="200"/>
        <w:jc w:val="righ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 w14:paraId="275E6E20">
      <w:pP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F8EE9"/>
    <w:multiLevelType w:val="singleLevel"/>
    <w:tmpl w:val="D57F8EE9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GU1NjhlYzE2YmJjYmI3NThiOWQ3ZDE0ODhkOTAifQ=="/>
    <w:docVar w:name="KSO_WPS_MARK_KEY" w:val="738d449f-9b98-4c8b-93ce-da1dae5d7b58"/>
  </w:docVars>
  <w:rsids>
    <w:rsidRoot w:val="00000000"/>
    <w:rsid w:val="005810D3"/>
    <w:rsid w:val="00C210DA"/>
    <w:rsid w:val="0126285F"/>
    <w:rsid w:val="013F0A4A"/>
    <w:rsid w:val="01711726"/>
    <w:rsid w:val="01A06AB7"/>
    <w:rsid w:val="02087C54"/>
    <w:rsid w:val="023A109F"/>
    <w:rsid w:val="03D87DA2"/>
    <w:rsid w:val="041501E2"/>
    <w:rsid w:val="049B394B"/>
    <w:rsid w:val="04E8211E"/>
    <w:rsid w:val="05571321"/>
    <w:rsid w:val="058A4850"/>
    <w:rsid w:val="05A22F24"/>
    <w:rsid w:val="064351F5"/>
    <w:rsid w:val="065D1765"/>
    <w:rsid w:val="069D4F84"/>
    <w:rsid w:val="071A1FD6"/>
    <w:rsid w:val="07C136C9"/>
    <w:rsid w:val="087057C8"/>
    <w:rsid w:val="08A32FCE"/>
    <w:rsid w:val="09BD742E"/>
    <w:rsid w:val="09DF68E3"/>
    <w:rsid w:val="0A0712AC"/>
    <w:rsid w:val="0A180D0E"/>
    <w:rsid w:val="0A301362"/>
    <w:rsid w:val="0AAC352A"/>
    <w:rsid w:val="0ACC0D02"/>
    <w:rsid w:val="0B3B5CBE"/>
    <w:rsid w:val="0BDC6F62"/>
    <w:rsid w:val="0C0B71FC"/>
    <w:rsid w:val="0C307264"/>
    <w:rsid w:val="0D285A20"/>
    <w:rsid w:val="0D436628"/>
    <w:rsid w:val="0D4B23B2"/>
    <w:rsid w:val="0D547E5D"/>
    <w:rsid w:val="0D8867A6"/>
    <w:rsid w:val="0D9F44AC"/>
    <w:rsid w:val="0F7762E1"/>
    <w:rsid w:val="0F92348B"/>
    <w:rsid w:val="0FCE6E2A"/>
    <w:rsid w:val="0FFC17D4"/>
    <w:rsid w:val="101A1300"/>
    <w:rsid w:val="10805AC2"/>
    <w:rsid w:val="109B6824"/>
    <w:rsid w:val="11011F28"/>
    <w:rsid w:val="111E021C"/>
    <w:rsid w:val="112460E6"/>
    <w:rsid w:val="114D654B"/>
    <w:rsid w:val="120A1803"/>
    <w:rsid w:val="129E298D"/>
    <w:rsid w:val="12DB2DED"/>
    <w:rsid w:val="130D1D87"/>
    <w:rsid w:val="13D12AA7"/>
    <w:rsid w:val="14BF3730"/>
    <w:rsid w:val="157F78BB"/>
    <w:rsid w:val="16543395"/>
    <w:rsid w:val="16997FD5"/>
    <w:rsid w:val="16D72F09"/>
    <w:rsid w:val="170C5CEE"/>
    <w:rsid w:val="17984446"/>
    <w:rsid w:val="18163CAC"/>
    <w:rsid w:val="184222F4"/>
    <w:rsid w:val="19510423"/>
    <w:rsid w:val="19995866"/>
    <w:rsid w:val="199B3531"/>
    <w:rsid w:val="19CE059A"/>
    <w:rsid w:val="1A681C0A"/>
    <w:rsid w:val="1B122762"/>
    <w:rsid w:val="1B217CB2"/>
    <w:rsid w:val="1C375058"/>
    <w:rsid w:val="1C6D03D4"/>
    <w:rsid w:val="1CDC3027"/>
    <w:rsid w:val="1D923251"/>
    <w:rsid w:val="1E1C3BC3"/>
    <w:rsid w:val="1E2A330C"/>
    <w:rsid w:val="1E3E02E3"/>
    <w:rsid w:val="1E626D64"/>
    <w:rsid w:val="1EE76529"/>
    <w:rsid w:val="1F12769C"/>
    <w:rsid w:val="1F461092"/>
    <w:rsid w:val="1FCB1131"/>
    <w:rsid w:val="20C4005A"/>
    <w:rsid w:val="21390CBA"/>
    <w:rsid w:val="215F283F"/>
    <w:rsid w:val="22370947"/>
    <w:rsid w:val="22742C5F"/>
    <w:rsid w:val="22D13310"/>
    <w:rsid w:val="23275287"/>
    <w:rsid w:val="23F20A97"/>
    <w:rsid w:val="24972D3F"/>
    <w:rsid w:val="24DA2601"/>
    <w:rsid w:val="25072827"/>
    <w:rsid w:val="2526581A"/>
    <w:rsid w:val="26867B60"/>
    <w:rsid w:val="27165388"/>
    <w:rsid w:val="27346B96"/>
    <w:rsid w:val="27743588"/>
    <w:rsid w:val="27B849CF"/>
    <w:rsid w:val="2838088A"/>
    <w:rsid w:val="286D0833"/>
    <w:rsid w:val="28833B59"/>
    <w:rsid w:val="28D365FF"/>
    <w:rsid w:val="291D6417"/>
    <w:rsid w:val="29337417"/>
    <w:rsid w:val="297D09A1"/>
    <w:rsid w:val="29842A7C"/>
    <w:rsid w:val="29CC78C3"/>
    <w:rsid w:val="2ADE6251"/>
    <w:rsid w:val="2C106909"/>
    <w:rsid w:val="2C627C98"/>
    <w:rsid w:val="2C7A3448"/>
    <w:rsid w:val="2CE31F62"/>
    <w:rsid w:val="2D211B3B"/>
    <w:rsid w:val="2DB9081B"/>
    <w:rsid w:val="2E85670D"/>
    <w:rsid w:val="2E8D4C56"/>
    <w:rsid w:val="2EB36A2E"/>
    <w:rsid w:val="2ED254C6"/>
    <w:rsid w:val="2EF83D43"/>
    <w:rsid w:val="2FB71881"/>
    <w:rsid w:val="31B33165"/>
    <w:rsid w:val="33E50543"/>
    <w:rsid w:val="34A07617"/>
    <w:rsid w:val="34DB06E9"/>
    <w:rsid w:val="351078BA"/>
    <w:rsid w:val="351572E9"/>
    <w:rsid w:val="36384C98"/>
    <w:rsid w:val="37CC6A5E"/>
    <w:rsid w:val="39026FC0"/>
    <w:rsid w:val="39797D93"/>
    <w:rsid w:val="39FE1617"/>
    <w:rsid w:val="3A30302C"/>
    <w:rsid w:val="3AB775F7"/>
    <w:rsid w:val="3B3E6803"/>
    <w:rsid w:val="3C695348"/>
    <w:rsid w:val="3CB63353"/>
    <w:rsid w:val="3D205459"/>
    <w:rsid w:val="3D3C2FA4"/>
    <w:rsid w:val="3E353848"/>
    <w:rsid w:val="3E49293D"/>
    <w:rsid w:val="3EDD056A"/>
    <w:rsid w:val="403D352D"/>
    <w:rsid w:val="408B405C"/>
    <w:rsid w:val="41210759"/>
    <w:rsid w:val="417E18D6"/>
    <w:rsid w:val="41AE3B75"/>
    <w:rsid w:val="42093C6B"/>
    <w:rsid w:val="42942AE1"/>
    <w:rsid w:val="42D31F27"/>
    <w:rsid w:val="432B41F4"/>
    <w:rsid w:val="436049F3"/>
    <w:rsid w:val="438D5DDF"/>
    <w:rsid w:val="43FF1D0C"/>
    <w:rsid w:val="441C1DC9"/>
    <w:rsid w:val="446A464D"/>
    <w:rsid w:val="44C1296C"/>
    <w:rsid w:val="452847AC"/>
    <w:rsid w:val="455702FC"/>
    <w:rsid w:val="457378FC"/>
    <w:rsid w:val="45F36B68"/>
    <w:rsid w:val="460A6FC5"/>
    <w:rsid w:val="46207231"/>
    <w:rsid w:val="46575EE1"/>
    <w:rsid w:val="47134101"/>
    <w:rsid w:val="472450A7"/>
    <w:rsid w:val="47B95B8F"/>
    <w:rsid w:val="47FC4225"/>
    <w:rsid w:val="49956188"/>
    <w:rsid w:val="49B24515"/>
    <w:rsid w:val="4A8627AC"/>
    <w:rsid w:val="4A96196F"/>
    <w:rsid w:val="4C3A735D"/>
    <w:rsid w:val="4F026955"/>
    <w:rsid w:val="4F610FE6"/>
    <w:rsid w:val="4FD712A8"/>
    <w:rsid w:val="511E675F"/>
    <w:rsid w:val="51250478"/>
    <w:rsid w:val="52C5117E"/>
    <w:rsid w:val="52FC5287"/>
    <w:rsid w:val="535A41AC"/>
    <w:rsid w:val="536D0079"/>
    <w:rsid w:val="53A97EC1"/>
    <w:rsid w:val="53C50930"/>
    <w:rsid w:val="544F2BA6"/>
    <w:rsid w:val="546E405A"/>
    <w:rsid w:val="5501717E"/>
    <w:rsid w:val="553A4EB6"/>
    <w:rsid w:val="55AE268C"/>
    <w:rsid w:val="55F44855"/>
    <w:rsid w:val="56A95021"/>
    <w:rsid w:val="57213DE2"/>
    <w:rsid w:val="579A66C8"/>
    <w:rsid w:val="599B50F5"/>
    <w:rsid w:val="59F370B1"/>
    <w:rsid w:val="5A5E54DF"/>
    <w:rsid w:val="5A715E56"/>
    <w:rsid w:val="5A922E30"/>
    <w:rsid w:val="5AEC1D7C"/>
    <w:rsid w:val="5C1A40E5"/>
    <w:rsid w:val="5C5526AC"/>
    <w:rsid w:val="5C5B75F7"/>
    <w:rsid w:val="5C6A1AC9"/>
    <w:rsid w:val="5CCC6146"/>
    <w:rsid w:val="5D883C49"/>
    <w:rsid w:val="5DE60909"/>
    <w:rsid w:val="5E98540A"/>
    <w:rsid w:val="602C7B18"/>
    <w:rsid w:val="608E7761"/>
    <w:rsid w:val="60934B38"/>
    <w:rsid w:val="60B1516B"/>
    <w:rsid w:val="617E5A72"/>
    <w:rsid w:val="620F14E4"/>
    <w:rsid w:val="624C393A"/>
    <w:rsid w:val="62C23709"/>
    <w:rsid w:val="639071EC"/>
    <w:rsid w:val="63C60D22"/>
    <w:rsid w:val="642277FE"/>
    <w:rsid w:val="66101D6A"/>
    <w:rsid w:val="66C8504F"/>
    <w:rsid w:val="67AD05BB"/>
    <w:rsid w:val="68075EBB"/>
    <w:rsid w:val="682F23BA"/>
    <w:rsid w:val="6865412C"/>
    <w:rsid w:val="688F488E"/>
    <w:rsid w:val="69640653"/>
    <w:rsid w:val="6AA55D48"/>
    <w:rsid w:val="6B4D1FC7"/>
    <w:rsid w:val="6BB21129"/>
    <w:rsid w:val="6BB7143C"/>
    <w:rsid w:val="6BCB0D9A"/>
    <w:rsid w:val="6DD644F6"/>
    <w:rsid w:val="6E5051F4"/>
    <w:rsid w:val="6E7D50F5"/>
    <w:rsid w:val="6EFC202E"/>
    <w:rsid w:val="6F8E0E92"/>
    <w:rsid w:val="6FC767EC"/>
    <w:rsid w:val="70316212"/>
    <w:rsid w:val="7075449A"/>
    <w:rsid w:val="70D77925"/>
    <w:rsid w:val="71627D77"/>
    <w:rsid w:val="719E300E"/>
    <w:rsid w:val="71ED323D"/>
    <w:rsid w:val="743C78AD"/>
    <w:rsid w:val="751F0770"/>
    <w:rsid w:val="758552B9"/>
    <w:rsid w:val="75863420"/>
    <w:rsid w:val="75CD3BF1"/>
    <w:rsid w:val="761517B3"/>
    <w:rsid w:val="76B178AE"/>
    <w:rsid w:val="76CD6ED5"/>
    <w:rsid w:val="775965FB"/>
    <w:rsid w:val="77893D0D"/>
    <w:rsid w:val="77C95660"/>
    <w:rsid w:val="77FD7C31"/>
    <w:rsid w:val="78F341AE"/>
    <w:rsid w:val="79003D12"/>
    <w:rsid w:val="79B31B8F"/>
    <w:rsid w:val="79D90ED9"/>
    <w:rsid w:val="79EB164D"/>
    <w:rsid w:val="7A083C89"/>
    <w:rsid w:val="7A910122"/>
    <w:rsid w:val="7A9863B2"/>
    <w:rsid w:val="7B2A40D3"/>
    <w:rsid w:val="7B4E3D95"/>
    <w:rsid w:val="7BF66D39"/>
    <w:rsid w:val="7EBB3358"/>
    <w:rsid w:val="7EC47165"/>
    <w:rsid w:val="7ECE2EB5"/>
    <w:rsid w:val="7F10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before="100" w:beforeLines="0" w:beforeAutospacing="1" w:after="0" w:afterLines="0"/>
      <w:ind w:left="420" w:leftChars="200" w:firstLine="420" w:firstLineChars="200"/>
      <w:jc w:val="both"/>
      <w:textAlignment w:val="baseline"/>
    </w:pPr>
    <w:rPr>
      <w:rFonts w:ascii="Times New Roman" w:hAnsi="Times New Roman"/>
      <w:kern w:val="0"/>
      <w:sz w:val="24"/>
      <w:szCs w:val="24"/>
    </w:rPr>
  </w:style>
  <w:style w:type="paragraph" w:customStyle="1" w:styleId="3">
    <w:name w:val="BodyTextIndent"/>
    <w:basedOn w:val="1"/>
    <w:qFormat/>
    <w:uiPriority w:val="0"/>
    <w:pPr>
      <w:spacing w:after="120" w:afterLines="0"/>
      <w:ind w:left="420" w:leftChars="200"/>
      <w:jc w:val="both"/>
      <w:textAlignment w:val="baseline"/>
    </w:p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unhideWhenUsed/>
    <w:qFormat/>
    <w:uiPriority w:val="0"/>
    <w:pPr>
      <w:adjustRightInd w:val="0"/>
      <w:snapToGrid w:val="0"/>
      <w:spacing w:after="0" w:afterLines="0" w:line="660" w:lineRule="exact"/>
      <w:ind w:left="0" w:leftChars="0" w:firstLine="420" w:firstLineChars="200"/>
    </w:pPr>
    <w:rPr>
      <w:rFonts w:ascii="仿宋_GB2312" w:eastAsia="仿宋_GB2312"/>
      <w:snapToGrid w:val="0"/>
      <w:kern w:val="0"/>
      <w:sz w:val="32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2871</Words>
  <Characters>3298</Characters>
  <Lines>0</Lines>
  <Paragraphs>0</Paragraphs>
  <TotalTime>4</TotalTime>
  <ScaleCrop>false</ScaleCrop>
  <LinksUpToDate>false</LinksUpToDate>
  <CharactersWithSpaces>3361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WPS_1666013892</cp:lastModifiedBy>
  <cp:lastPrinted>2025-06-26T07:12:00Z</cp:lastPrinted>
  <dcterms:modified xsi:type="dcterms:W3CDTF">2025-07-30T03:13:52Z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7EA8933997AE47778653B8AFF0F452AE_12</vt:lpwstr>
  </property>
  <property fmtid="{D5CDD505-2E9C-101B-9397-08002B2CF9AE}" pid="4" name="KSOTemplateDocerSaveRecord">
    <vt:lpwstr>eyJoZGlkIjoiZmNiZGU1NjhlYzE2YmJjYmI3NThiOWQ3ZDE0ODhkOTAiLCJ1c2VySWQiOiIxNDIxODExODQzIn0=</vt:lpwstr>
  </property>
</Properties>
</file>