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0"/>
        <w:numPr>
          <w:ilvl w:val="3"/>
          <w:numId w:val="0"/>
        </w:numPr>
        <w:spacing w:before="120" w:beforeLines="50" w:after="120" w:afterLines="50"/>
      </w:pPr>
      <w:bookmarkStart w:id="0" w:name="_Toc17863"/>
      <w:r>
        <w:t>项目绩效目标表</w:t>
      </w:r>
      <w:bookmarkEnd w:id="0"/>
    </w:p>
    <w:tbl>
      <w:tblPr>
        <w:tblStyle w:val="1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3"/>
        <w:gridCol w:w="2255"/>
        <w:gridCol w:w="1501"/>
        <w:gridCol w:w="2373"/>
        <w:gridCol w:w="1782"/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项目名称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邵东市老旧小区改造及小区外配套基础设施建设项目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主管部门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邵东市住房和城乡建设局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项目实施单位</w:t>
            </w:r>
          </w:p>
        </w:tc>
        <w:tc>
          <w:tcPr>
            <w:tcW w:w="882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邵东市住房和城乡建设局</w:t>
            </w:r>
          </w:p>
        </w:tc>
        <w:tc>
          <w:tcPr>
            <w:tcW w:w="58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项目负责人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联系电话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项目资金</w:t>
            </w:r>
          </w:p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（</w:t>
            </w:r>
            <w:r>
              <w:rPr>
                <w:rFonts w:ascii="仿宋" w:hAnsi="仿宋" w:eastAsia="仿宋"/>
                <w:sz w:val="18"/>
                <w:szCs w:val="18"/>
              </w:rPr>
              <w:t>万元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）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资金总额：26,060.00万元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一、政府专项债券资金：13,000万元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二、其他资金：13,060.00万元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项目实施进度计划</w:t>
            </w:r>
          </w:p>
        </w:tc>
        <w:tc>
          <w:tcPr>
            <w:tcW w:w="2397" w:type="pct"/>
            <w:gridSpan w:val="3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开始时间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397" w:type="pct"/>
            <w:gridSpan w:val="3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2021年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9</w:t>
            </w:r>
            <w:r>
              <w:rPr>
                <w:rFonts w:ascii="仿宋" w:hAnsi="仿宋" w:eastAsia="仿宋"/>
                <w:sz w:val="18"/>
                <w:szCs w:val="18"/>
              </w:rPr>
              <w:t>月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2023年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项目绩效目标</w:t>
            </w:r>
          </w:p>
        </w:tc>
        <w:tc>
          <w:tcPr>
            <w:tcW w:w="4024" w:type="pct"/>
            <w:gridSpan w:val="5"/>
            <w:vMerge w:val="restart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本项目拟建设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：</w:t>
            </w:r>
          </w:p>
          <w:p>
            <w:pPr>
              <w:spacing w:line="240" w:lineRule="auto"/>
              <w:ind w:firstLine="0" w:firstLineChars="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（1）2022-2023年44个老旧小区内基础设施改造项目：小区内改造范围共涉及44个老旧小区，总建筑面积为83.44万㎡，现有房屋272栋，涉及改造7497户住户。违章建筑拆除3260㎡；房屋公共部位防护栏杆整修648m，屋顶防水20267.1㎡，坡屋顶改造4756㎡；给水管铺设8085m（铸铁管DN200 5805m，入户PE管DN50 2280m），室外消火栓安装60个；HDPE双壁波纹管14619m（DN300~DN500），排水沟2772m，检查井288座，新增玻璃钢化粪池60座，更换破损井盖414座；整理并归并弱电线缆39150m，弱电线缆下地铺设8350m，避雷器44套；破损道路整治翻修67939.8㎡，室外梯道修补420m；安装6表箱570台；增设分类垃圾桶180个；改造和增设路灯490台；围墙立面粉刷4770m；增加手提式灭火器1560套等。</w:t>
            </w:r>
          </w:p>
          <w:p>
            <w:pPr>
              <w:spacing w:line="240" w:lineRule="auto"/>
              <w:ind w:firstLine="0" w:firstLineChars="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休闲广场地面整修11380.5㎡，增设机动车停车位56700㎡；安装健身器材40组，增设休闲座椅100组；环境景观整治（绿化带）4158㎡等。小区立面整治16380㎡。</w:t>
            </w:r>
          </w:p>
          <w:p>
            <w:pPr>
              <w:spacing w:line="240" w:lineRule="auto"/>
              <w:ind w:firstLine="0" w:firstLineChars="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（2）2021-2023年66个小区外的配套基础设施建设项目，涉及66个小区外的配套基础设施建设，配套改扩建小区外连接道路31条3875米，地面停车场3900㎡，充电桩225个，排水防涝、养老抚幼、无障碍设施、新型城镇化建设等配套基础设施。各小区共有停车位3</w:t>
            </w:r>
            <w:r>
              <w:rPr>
                <w:rFonts w:ascii="仿宋" w:hAnsi="仿宋" w:eastAsia="仿宋"/>
                <w:sz w:val="18"/>
                <w:szCs w:val="18"/>
              </w:rPr>
              <w:t>,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700个，其中：小区内停车位2</w:t>
            </w:r>
            <w:r>
              <w:rPr>
                <w:rFonts w:ascii="仿宋" w:hAnsi="仿宋" w:eastAsia="仿宋"/>
                <w:sz w:val="18"/>
                <w:szCs w:val="18"/>
              </w:rPr>
              <w:t>,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200个，老旧小区周边闲置用地停车位1,500个。</w:t>
            </w:r>
          </w:p>
          <w:p>
            <w:pPr>
              <w:pStyle w:val="41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项目建成运营后，将大大改善项目区域内配套基础设施，改善原住民居住条件和生活环境，其对所在地基础设施和公共服务的影响是非常有利的。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4024" w:type="pct"/>
            <w:gridSpan w:val="5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项目绩效指标</w:t>
            </w:r>
          </w:p>
        </w:tc>
        <w:tc>
          <w:tcPr>
            <w:tcW w:w="882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一级指标</w:t>
            </w:r>
          </w:p>
        </w:tc>
        <w:tc>
          <w:tcPr>
            <w:tcW w:w="58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二级指标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三级指标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指标值及</w:t>
            </w:r>
          </w:p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单位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产出指标</w:t>
            </w:r>
          </w:p>
        </w:tc>
        <w:tc>
          <w:tcPr>
            <w:tcW w:w="587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数量指标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小区内停车位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  <w:r>
              <w:rPr>
                <w:rFonts w:ascii="仿宋" w:hAnsi="仿宋" w:eastAsia="仿宋"/>
                <w:sz w:val="18"/>
                <w:szCs w:val="18"/>
              </w:rPr>
              <w:t>,200.00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老旧小区周边闲置用地停车位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  <w:r>
              <w:rPr>
                <w:rFonts w:ascii="仿宋" w:hAnsi="仿宋" w:eastAsia="仿宋"/>
                <w:sz w:val="18"/>
                <w:szCs w:val="18"/>
              </w:rPr>
              <w:t>,500.00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充电桩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广告位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质量指标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合格率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≥95%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时效指标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完工时间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  <w:r>
              <w:rPr>
                <w:rFonts w:ascii="仿宋" w:hAnsi="仿宋" w:eastAsia="仿宋"/>
                <w:sz w:val="18"/>
                <w:szCs w:val="18"/>
              </w:rPr>
              <w:t>年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  <w:r>
              <w:rPr>
                <w:rFonts w:ascii="仿宋" w:hAnsi="仿宋" w:eastAsia="仿宋"/>
                <w:sz w:val="18"/>
                <w:szCs w:val="18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成本指标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万元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26,060.00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成本超支不超过5%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效益指标</w:t>
            </w:r>
          </w:p>
        </w:tc>
        <w:tc>
          <w:tcPr>
            <w:tcW w:w="587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经济效益指标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使用率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8</w:t>
            </w:r>
            <w:r>
              <w:rPr>
                <w:rFonts w:ascii="仿宋" w:hAnsi="仿宋" w:eastAsia="仿宋"/>
                <w:sz w:val="20"/>
                <w:szCs w:val="20"/>
              </w:rPr>
              <w:t>0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单位定价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1</w:t>
            </w:r>
            <w:r>
              <w:rPr>
                <w:rFonts w:ascii="仿宋" w:hAnsi="仿宋" w:eastAsia="仿宋"/>
                <w:sz w:val="20"/>
                <w:szCs w:val="20"/>
              </w:rPr>
              <w:t>0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%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政府指导价上下浮动1</w:t>
            </w:r>
            <w:r>
              <w:rPr>
                <w:rFonts w:ascii="仿宋" w:hAnsi="仿宋" w:eastAsia="仿宋"/>
                <w:sz w:val="18"/>
                <w:szCs w:val="18"/>
              </w:rPr>
              <w:t>0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%之内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Merge w:val="restart"/>
            <w:vAlign w:val="center"/>
          </w:tcPr>
          <w:p>
            <w:pPr>
              <w:pStyle w:val="41"/>
              <w:jc w:val="both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社会效益指标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解决停车难的问题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与建设前比较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基本解决项目周边1公里内乱停车现象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Merge w:val="continue"/>
            <w:vAlign w:val="center"/>
          </w:tcPr>
          <w:p>
            <w:pPr>
              <w:pStyle w:val="41"/>
              <w:jc w:val="both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解决新能源汽车充电问题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与建设前比较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基本解决项目周边</w:t>
            </w:r>
            <w:r>
              <w:rPr>
                <w:rFonts w:ascii="仿宋" w:hAnsi="仿宋" w:eastAsia="仿宋"/>
                <w:sz w:val="18"/>
                <w:szCs w:val="18"/>
              </w:rPr>
              <w:t>2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公里内新能源汽车终端配套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Merge w:val="continue"/>
            <w:vAlign w:val="center"/>
          </w:tcPr>
          <w:p>
            <w:pPr>
              <w:pStyle w:val="41"/>
              <w:jc w:val="both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改善项目区域内配套基础设施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与建设前比较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改善原住民居住条件和生活环境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9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生态效益指标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促进邵东市的社会稳定和经济发展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改善项目周边老旧小区的基础设施条件，完善新能源基础配套设施，促进节能减排，提升项目周边居民的生活幸福指数。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可持续影响指标</w:t>
            </w:r>
          </w:p>
        </w:tc>
        <w:tc>
          <w:tcPr>
            <w:tcW w:w="2553" w:type="pct"/>
            <w:gridSpan w:val="3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推动社会发展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，改善投资环境，扩大招商引资。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社会公众或服务对象满意度指标</w:t>
            </w:r>
          </w:p>
        </w:tc>
        <w:tc>
          <w:tcPr>
            <w:tcW w:w="92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公众社会满意度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≥90%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≥90%</w:t>
            </w:r>
          </w:p>
        </w:tc>
      </w:tr>
    </w:tbl>
    <w:p>
      <w:pPr>
        <w:pStyle w:val="5"/>
        <w:numPr>
          <w:ilvl w:val="1"/>
          <w:numId w:val="0"/>
        </w:numPr>
        <w:adjustRightInd/>
        <w:snapToGrid/>
      </w:pPr>
      <w:bookmarkStart w:id="1" w:name="_GoBack"/>
      <w:bookmarkEnd w:id="1"/>
    </w:p>
    <w:sectPr>
      <w:headerReference r:id="rId5" w:type="default"/>
      <w:footerReference r:id="rId6" w:type="default"/>
      <w:pgSz w:w="16840" w:h="11907" w:orient="landscape"/>
      <w:pgMar w:top="1588" w:right="2098" w:bottom="1474" w:left="1985" w:header="0" w:footer="1243" w:gutter="0"/>
      <w:cols w:space="720" w:num="1"/>
      <w:docGrid w:type="lines" w:linePitch="0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acd wne:acdName="acd0"/>
    </wne:keymap>
  </wne:keymap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ind w:firstLine="240"/>
      <w:rPr>
        <w:sz w:val="12"/>
      </w:rPr>
    </w:pPr>
    <w:r>
      <w:rPr>
        <w:sz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1270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ind w:firstLine="560"/>
                            <w:rPr>
                              <w:rFonts w:ascii="Tahoma" w:hAnsi="Tahoma" w:eastAsia="仿宋_GB2312" w:cs="Tahom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8800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TOIUjSAAAABQEAAA8AAAAAAAAAAQAgAAAAIgAAAGRycy9kb3ducmV2LnhtbFBLAQIUABQA&#10;AAAIAIdO4kDub2RSLwIAAFoEAAAOAAAAAAAAAAEAIAAAACE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8mm,0mm" style="mso-fit-shape-to-text:t;">
                <w:txbxContent>
                  <w:p>
                    <w:pPr>
                      <w:pStyle w:val="12"/>
                      <w:ind w:firstLine="560"/>
                      <w:rPr>
                        <w:rFonts w:ascii="Tahoma" w:hAnsi="Tahoma" w:eastAsia="仿宋_GB2312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083D0E"/>
    <w:multiLevelType w:val="multilevel"/>
    <w:tmpl w:val="52083D0E"/>
    <w:lvl w:ilvl="0" w:tentative="0">
      <w:start w:val="1"/>
      <w:numFmt w:val="chineseCountingThousand"/>
      <w:pStyle w:val="4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pStyle w:val="5"/>
      <w:suff w:val="nothing"/>
      <w:lvlText w:val="（%2）"/>
      <w:lvlJc w:val="left"/>
      <w:pPr>
        <w:ind w:left="142" w:firstLine="0"/>
      </w:pPr>
      <w:rPr>
        <w:rFonts w:hint="eastAsia"/>
      </w:rPr>
    </w:lvl>
    <w:lvl w:ilvl="2" w:tentative="0">
      <w:start w:val="1"/>
      <w:numFmt w:val="decimal"/>
      <w:pStyle w:val="6"/>
      <w:suff w:val="nothing"/>
      <w:lvlText w:val="%3."/>
      <w:lvlJc w:val="left"/>
      <w:pPr>
        <w:ind w:left="0" w:firstLine="993"/>
      </w:pPr>
      <w:rPr>
        <w:rFonts w:hint="eastAsia"/>
      </w:rPr>
    </w:lvl>
    <w:lvl w:ilvl="3" w:tentative="0">
      <w:start w:val="1"/>
      <w:numFmt w:val="decimal"/>
      <w:lvlRestart w:val="1"/>
      <w:pStyle w:val="40"/>
      <w:isLgl/>
      <w:suff w:val="space"/>
      <w:lvlText w:val="表%1-%4"/>
      <w:lvlJc w:val="center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N2RjYmNjYWQwOTI1ZWE0YmViMDdiYWM1Mzg1OGYifQ=="/>
  </w:docVars>
  <w:rsids>
    <w:rsidRoot w:val="00536DFF"/>
    <w:rsid w:val="00062C99"/>
    <w:rsid w:val="000F578E"/>
    <w:rsid w:val="0011062D"/>
    <w:rsid w:val="00133E03"/>
    <w:rsid w:val="001410F0"/>
    <w:rsid w:val="00165D71"/>
    <w:rsid w:val="00194761"/>
    <w:rsid w:val="001A1C9F"/>
    <w:rsid w:val="001A68BA"/>
    <w:rsid w:val="001B5F79"/>
    <w:rsid w:val="00222CFE"/>
    <w:rsid w:val="00227B8B"/>
    <w:rsid w:val="0026155A"/>
    <w:rsid w:val="00276CF6"/>
    <w:rsid w:val="002C00FB"/>
    <w:rsid w:val="002C2D84"/>
    <w:rsid w:val="003173D9"/>
    <w:rsid w:val="0039608D"/>
    <w:rsid w:val="003D273B"/>
    <w:rsid w:val="004476F0"/>
    <w:rsid w:val="0047203B"/>
    <w:rsid w:val="00483BC4"/>
    <w:rsid w:val="0051355D"/>
    <w:rsid w:val="00536DFF"/>
    <w:rsid w:val="0054020B"/>
    <w:rsid w:val="0058356A"/>
    <w:rsid w:val="005A213F"/>
    <w:rsid w:val="005E170C"/>
    <w:rsid w:val="006A4035"/>
    <w:rsid w:val="007267F0"/>
    <w:rsid w:val="007556FD"/>
    <w:rsid w:val="007B6F35"/>
    <w:rsid w:val="007F18DF"/>
    <w:rsid w:val="00821F8E"/>
    <w:rsid w:val="00827254"/>
    <w:rsid w:val="00836B1A"/>
    <w:rsid w:val="00860BB0"/>
    <w:rsid w:val="00923768"/>
    <w:rsid w:val="0093778E"/>
    <w:rsid w:val="009C4C55"/>
    <w:rsid w:val="009E5B47"/>
    <w:rsid w:val="00A042F6"/>
    <w:rsid w:val="00A0772C"/>
    <w:rsid w:val="00A123D3"/>
    <w:rsid w:val="00A4054C"/>
    <w:rsid w:val="00A421D8"/>
    <w:rsid w:val="00A605EC"/>
    <w:rsid w:val="00AD118F"/>
    <w:rsid w:val="00B16857"/>
    <w:rsid w:val="00BF7138"/>
    <w:rsid w:val="00C10F45"/>
    <w:rsid w:val="00C60104"/>
    <w:rsid w:val="00C63764"/>
    <w:rsid w:val="00C723D0"/>
    <w:rsid w:val="00CB19A8"/>
    <w:rsid w:val="00CB1B5B"/>
    <w:rsid w:val="00CF34E6"/>
    <w:rsid w:val="00CF76CF"/>
    <w:rsid w:val="00E1024F"/>
    <w:rsid w:val="00E54133"/>
    <w:rsid w:val="00E734F3"/>
    <w:rsid w:val="00E858DB"/>
    <w:rsid w:val="00F657A3"/>
    <w:rsid w:val="00F65E3E"/>
    <w:rsid w:val="00FB5ED2"/>
    <w:rsid w:val="00FD0C2E"/>
    <w:rsid w:val="00FF030E"/>
    <w:rsid w:val="020E4784"/>
    <w:rsid w:val="051E2170"/>
    <w:rsid w:val="05697F0F"/>
    <w:rsid w:val="080A7194"/>
    <w:rsid w:val="085130DA"/>
    <w:rsid w:val="0994431F"/>
    <w:rsid w:val="10F73A8E"/>
    <w:rsid w:val="13E833D9"/>
    <w:rsid w:val="1A6822B3"/>
    <w:rsid w:val="1D884412"/>
    <w:rsid w:val="1FCD6C2A"/>
    <w:rsid w:val="20C92536"/>
    <w:rsid w:val="21234119"/>
    <w:rsid w:val="29151F39"/>
    <w:rsid w:val="295B422B"/>
    <w:rsid w:val="2C634000"/>
    <w:rsid w:val="2D7B27CA"/>
    <w:rsid w:val="301D0332"/>
    <w:rsid w:val="34011E6F"/>
    <w:rsid w:val="355D483B"/>
    <w:rsid w:val="36016777"/>
    <w:rsid w:val="3E577E0C"/>
    <w:rsid w:val="401F225E"/>
    <w:rsid w:val="4C572862"/>
    <w:rsid w:val="4EA24FE7"/>
    <w:rsid w:val="5DD27F30"/>
    <w:rsid w:val="5DD924B2"/>
    <w:rsid w:val="61090460"/>
    <w:rsid w:val="6409763B"/>
    <w:rsid w:val="680C471F"/>
    <w:rsid w:val="6F90174A"/>
    <w:rsid w:val="7592134B"/>
    <w:rsid w:val="7647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60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9"/>
    <w:pPr>
      <w:numPr>
        <w:ilvl w:val="0"/>
        <w:numId w:val="1"/>
      </w:numPr>
      <w:autoSpaceDE w:val="0"/>
      <w:autoSpaceDN w:val="0"/>
      <w:ind w:firstLineChars="0"/>
      <w:jc w:val="left"/>
      <w:outlineLvl w:val="0"/>
    </w:pPr>
    <w:rPr>
      <w:rFonts w:eastAsia="黑体" w:cs="楷体"/>
      <w:b/>
      <w:bCs/>
      <w:kern w:val="0"/>
      <w:szCs w:val="32"/>
      <w:lang w:eastAsia="en-US"/>
    </w:rPr>
  </w:style>
  <w:style w:type="paragraph" w:styleId="5">
    <w:name w:val="heading 2"/>
    <w:basedOn w:val="1"/>
    <w:next w:val="1"/>
    <w:unhideWhenUsed/>
    <w:qFormat/>
    <w:uiPriority w:val="9"/>
    <w:pPr>
      <w:numPr>
        <w:ilvl w:val="1"/>
        <w:numId w:val="1"/>
      </w:numPr>
      <w:ind w:firstLineChars="0"/>
      <w:jc w:val="left"/>
      <w:outlineLvl w:val="1"/>
    </w:pPr>
    <w:rPr>
      <w:rFonts w:eastAsia="楷体" w:cs="微软雅黑"/>
      <w:bCs/>
      <w:szCs w:val="28"/>
    </w:rPr>
  </w:style>
  <w:style w:type="paragraph" w:styleId="6">
    <w:name w:val="heading 3"/>
    <w:basedOn w:val="1"/>
    <w:next w:val="1"/>
    <w:link w:val="42"/>
    <w:unhideWhenUsed/>
    <w:qFormat/>
    <w:uiPriority w:val="9"/>
    <w:pPr>
      <w:numPr>
        <w:ilvl w:val="2"/>
        <w:numId w:val="1"/>
      </w:numPr>
      <w:ind w:firstLine="0" w:firstLineChars="0"/>
      <w:jc w:val="left"/>
      <w:outlineLvl w:val="2"/>
    </w:pPr>
    <w:rPr>
      <w:rFonts w:cs="宋体"/>
      <w:b/>
      <w:szCs w:val="24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ind w:hanging="144"/>
      <w:outlineLvl w:val="3"/>
    </w:pPr>
    <w:rPr>
      <w:rFonts w:ascii="Arial" w:hAnsi="Arial"/>
      <w:bCs/>
      <w:kern w:val="0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960"/>
    </w:pPr>
  </w:style>
  <w:style w:type="paragraph" w:styleId="3">
    <w:name w:val="Body Text Indent"/>
    <w:basedOn w:val="1"/>
    <w:qFormat/>
    <w:uiPriority w:val="0"/>
    <w:pPr>
      <w:spacing w:line="500" w:lineRule="exact"/>
      <w:ind w:firstLine="600"/>
    </w:pPr>
    <w:rPr>
      <w:rFonts w:cs="Times New Roman"/>
      <w:kern w:val="0"/>
      <w:sz w:val="30"/>
      <w:szCs w:val="24"/>
    </w:rPr>
  </w:style>
  <w:style w:type="paragraph" w:styleId="8">
    <w:name w:val="annotation text"/>
    <w:basedOn w:val="1"/>
    <w:unhideWhenUsed/>
    <w:qFormat/>
    <w:uiPriority w:val="99"/>
    <w:pPr>
      <w:jc w:val="left"/>
    </w:pPr>
  </w:style>
  <w:style w:type="paragraph" w:styleId="9">
    <w:name w:val="Body Text"/>
    <w:basedOn w:val="1"/>
    <w:link w:val="3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Cs w:val="32"/>
      <w:lang w:eastAsia="en-US"/>
    </w:rPr>
  </w:style>
  <w:style w:type="paragraph" w:styleId="10">
    <w:name w:val="Plain Text"/>
    <w:basedOn w:val="1"/>
    <w:link w:val="28"/>
    <w:qFormat/>
    <w:uiPriority w:val="0"/>
    <w:pPr>
      <w:spacing w:line="520" w:lineRule="exact"/>
      <w:ind w:firstLine="533" w:firstLineChars="196"/>
    </w:pPr>
    <w:rPr>
      <w:rFonts w:ascii="宋体" w:hAnsi="Courier New" w:cs="Courier New"/>
      <w:szCs w:val="21"/>
    </w:rPr>
  </w:style>
  <w:style w:type="paragraph" w:styleId="11">
    <w:name w:val="Balloon Text"/>
    <w:basedOn w:val="1"/>
    <w:link w:val="27"/>
    <w:unhideWhenUsed/>
    <w:qFormat/>
    <w:uiPriority w:val="99"/>
    <w:pPr>
      <w:autoSpaceDE w:val="0"/>
      <w:autoSpaceDN w:val="0"/>
      <w:jc w:val="left"/>
    </w:pPr>
    <w:rPr>
      <w:rFonts w:ascii="Heiti SC Light" w:hAnsi="仿宋" w:eastAsia="Heiti SC Light" w:cs="仿宋"/>
      <w:sz w:val="18"/>
      <w:szCs w:val="18"/>
    </w:rPr>
  </w:style>
  <w:style w:type="paragraph" w:styleId="12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jc w:val="left"/>
    </w:pPr>
    <w:rPr>
      <w:rFonts w:ascii="仿宋" w:hAnsi="仿宋" w:eastAsia="仿宋" w:cs="仿宋"/>
      <w:sz w:val="18"/>
      <w:szCs w:val="18"/>
    </w:rPr>
  </w:style>
  <w:style w:type="paragraph" w:styleId="13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jc w:val="center"/>
    </w:pPr>
    <w:rPr>
      <w:rFonts w:ascii="仿宋" w:hAnsi="仿宋" w:eastAsia="仿宋" w:cs="仿宋"/>
      <w:sz w:val="18"/>
      <w:szCs w:val="18"/>
    </w:rPr>
  </w:style>
  <w:style w:type="paragraph" w:styleId="14">
    <w:name w:val="toc 2"/>
    <w:basedOn w:val="1"/>
    <w:next w:val="1"/>
    <w:unhideWhenUsed/>
    <w:qFormat/>
    <w:uiPriority w:val="39"/>
    <w:pPr>
      <w:tabs>
        <w:tab w:val="right" w:leader="dot" w:pos="9220"/>
      </w:tabs>
      <w:autoSpaceDE w:val="0"/>
      <w:autoSpaceDN w:val="0"/>
      <w:spacing w:line="480" w:lineRule="auto"/>
      <w:ind w:left="440" w:leftChars="200"/>
      <w:jc w:val="left"/>
    </w:pPr>
    <w:rPr>
      <w:rFonts w:ascii="仿宋" w:hAnsi="仿宋" w:eastAsia="仿宋" w:cs="仿宋"/>
      <w:kern w:val="0"/>
      <w:sz w:val="22"/>
      <w:lang w:eastAsia="en-US"/>
    </w:rPr>
  </w:style>
  <w:style w:type="table" w:styleId="16">
    <w:name w:val="Table Grid"/>
    <w:basedOn w:val="15"/>
    <w:qFormat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basedOn w:val="17"/>
    <w:qFormat/>
    <w:uiPriority w:val="0"/>
  </w:style>
  <w:style w:type="character" w:styleId="19">
    <w:name w:val="line number"/>
    <w:basedOn w:val="17"/>
    <w:qFormat/>
    <w:uiPriority w:val="0"/>
  </w:style>
  <w:style w:type="character" w:styleId="20">
    <w:name w:val="Hyperlink"/>
    <w:basedOn w:val="17"/>
    <w:unhideWhenUsed/>
    <w:qFormat/>
    <w:uiPriority w:val="99"/>
    <w:rPr>
      <w:color w:val="0000FF"/>
      <w:u w:val="single"/>
    </w:rPr>
  </w:style>
  <w:style w:type="character" w:styleId="21">
    <w:name w:val="annotation reference"/>
    <w:basedOn w:val="17"/>
    <w:semiHidden/>
    <w:unhideWhenUsed/>
    <w:qFormat/>
    <w:uiPriority w:val="99"/>
    <w:rPr>
      <w:sz w:val="21"/>
      <w:szCs w:val="21"/>
    </w:rPr>
  </w:style>
  <w:style w:type="paragraph" w:styleId="22">
    <w:name w:val="List Paragraph"/>
    <w:basedOn w:val="1"/>
    <w:qFormat/>
    <w:uiPriority w:val="1"/>
    <w:pPr>
      <w:ind w:firstLine="420"/>
    </w:pPr>
  </w:style>
  <w:style w:type="character" w:customStyle="1" w:styleId="23">
    <w:name w:val="标题 1 字符"/>
    <w:basedOn w:val="17"/>
    <w:link w:val="4"/>
    <w:qFormat/>
    <w:uiPriority w:val="9"/>
    <w:rPr>
      <w:rFonts w:ascii="Times New Roman" w:hAnsi="Times New Roman" w:eastAsia="黑体" w:cs="楷体"/>
      <w:b/>
      <w:bCs/>
      <w:sz w:val="32"/>
      <w:szCs w:val="32"/>
      <w:lang w:eastAsia="en-US"/>
    </w:rPr>
  </w:style>
  <w:style w:type="character" w:customStyle="1" w:styleId="24">
    <w:name w:val="正文 1 Char"/>
    <w:link w:val="25"/>
    <w:qFormat/>
    <w:uiPriority w:val="0"/>
    <w:rPr>
      <w:rFonts w:ascii="宋体" w:hAnsi="宋体" w:cs="宋体"/>
      <w:color w:val="000000"/>
      <w:sz w:val="24"/>
      <w:szCs w:val="24"/>
      <w:lang w:val="zh-CN" w:bidi="zh-CN"/>
    </w:rPr>
  </w:style>
  <w:style w:type="paragraph" w:customStyle="1" w:styleId="25">
    <w:name w:val="正文 1"/>
    <w:basedOn w:val="1"/>
    <w:link w:val="24"/>
    <w:qFormat/>
    <w:uiPriority w:val="0"/>
    <w:pPr>
      <w:spacing w:line="464" w:lineRule="exact"/>
      <w:ind w:firstLine="540"/>
    </w:pPr>
    <w:rPr>
      <w:rFonts w:ascii="宋体" w:hAnsi="宋体" w:cs="宋体"/>
      <w:color w:val="000000"/>
      <w:sz w:val="24"/>
      <w:szCs w:val="24"/>
      <w:lang w:val="zh-CN" w:bidi="zh-CN"/>
    </w:rPr>
  </w:style>
  <w:style w:type="character" w:customStyle="1" w:styleId="26">
    <w:name w:val="纯文本 字符1"/>
    <w:semiHidden/>
    <w:qFormat/>
    <w:uiPriority w:val="99"/>
    <w:rPr>
      <w:rFonts w:ascii="宋体" w:hAnsi="Courier New" w:cs="Courier New"/>
    </w:rPr>
  </w:style>
  <w:style w:type="character" w:customStyle="1" w:styleId="27">
    <w:name w:val="批注框文本 字符"/>
    <w:link w:val="11"/>
    <w:qFormat/>
    <w:uiPriority w:val="99"/>
    <w:rPr>
      <w:rFonts w:ascii="Heiti SC Light" w:hAnsi="仿宋" w:eastAsia="Heiti SC Light" w:cs="仿宋"/>
      <w:sz w:val="18"/>
      <w:szCs w:val="18"/>
    </w:rPr>
  </w:style>
  <w:style w:type="character" w:customStyle="1" w:styleId="28">
    <w:name w:val="纯文本 字符"/>
    <w:link w:val="10"/>
    <w:qFormat/>
    <w:uiPriority w:val="0"/>
    <w:rPr>
      <w:rFonts w:ascii="宋体" w:hAnsi="Courier New" w:cs="Courier New"/>
      <w:szCs w:val="21"/>
    </w:rPr>
  </w:style>
  <w:style w:type="character" w:customStyle="1" w:styleId="29">
    <w:name w:val="页脚 字符"/>
    <w:link w:val="12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30">
    <w:name w:val="页眉 字符"/>
    <w:link w:val="13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31">
    <w:name w:val="正文文本 字符"/>
    <w:basedOn w:val="17"/>
    <w:link w:val="9"/>
    <w:qFormat/>
    <w:uiPriority w:val="1"/>
    <w:rPr>
      <w:rFonts w:ascii="仿宋" w:hAnsi="仿宋" w:eastAsia="仿宋" w:cs="仿宋"/>
      <w:kern w:val="0"/>
      <w:sz w:val="32"/>
      <w:szCs w:val="32"/>
      <w:lang w:eastAsia="en-US"/>
    </w:rPr>
  </w:style>
  <w:style w:type="character" w:customStyle="1" w:styleId="32">
    <w:name w:val="页眉 字符1"/>
    <w:basedOn w:val="17"/>
    <w:semiHidden/>
    <w:qFormat/>
    <w:uiPriority w:val="99"/>
    <w:rPr>
      <w:sz w:val="18"/>
      <w:szCs w:val="18"/>
    </w:rPr>
  </w:style>
  <w:style w:type="character" w:customStyle="1" w:styleId="33">
    <w:name w:val="页脚 字符1"/>
    <w:basedOn w:val="17"/>
    <w:semiHidden/>
    <w:qFormat/>
    <w:uiPriority w:val="99"/>
    <w:rPr>
      <w:sz w:val="18"/>
      <w:szCs w:val="18"/>
    </w:rPr>
  </w:style>
  <w:style w:type="character" w:customStyle="1" w:styleId="34">
    <w:name w:val="批注框文本 字符1"/>
    <w:basedOn w:val="17"/>
    <w:semiHidden/>
    <w:qFormat/>
    <w:uiPriority w:val="99"/>
    <w:rPr>
      <w:sz w:val="18"/>
      <w:szCs w:val="18"/>
    </w:rPr>
  </w:style>
  <w:style w:type="paragraph" w:customStyle="1" w:styleId="35">
    <w:name w:val="TOC 21"/>
    <w:basedOn w:val="1"/>
    <w:qFormat/>
    <w:uiPriority w:val="1"/>
    <w:pPr>
      <w:autoSpaceDE w:val="0"/>
      <w:autoSpaceDN w:val="0"/>
      <w:spacing w:before="214"/>
      <w:ind w:left="648"/>
      <w:jc w:val="left"/>
    </w:pPr>
    <w:rPr>
      <w:rFonts w:ascii="黑体" w:hAnsi="黑体" w:eastAsia="黑体" w:cs="黑体"/>
      <w:kern w:val="0"/>
      <w:szCs w:val="32"/>
      <w:lang w:eastAsia="en-US"/>
    </w:rPr>
  </w:style>
  <w:style w:type="paragraph" w:customStyle="1" w:styleId="36">
    <w:name w:val="Table Paragraph"/>
    <w:basedOn w:val="1"/>
    <w:qFormat/>
    <w:uiPriority w:val="1"/>
    <w:pPr>
      <w:autoSpaceDE w:val="0"/>
      <w:autoSpaceDN w:val="0"/>
      <w:spacing w:before="76"/>
      <w:jc w:val="center"/>
    </w:pPr>
    <w:rPr>
      <w:rFonts w:eastAsia="Times New Roman" w:cs="Times New Roman"/>
      <w:kern w:val="0"/>
      <w:sz w:val="22"/>
      <w:lang w:eastAsia="en-US"/>
    </w:rPr>
  </w:style>
  <w:style w:type="paragraph" w:customStyle="1" w:styleId="37">
    <w:name w:val="TOC 11"/>
    <w:basedOn w:val="1"/>
    <w:qFormat/>
    <w:uiPriority w:val="1"/>
    <w:pPr>
      <w:autoSpaceDE w:val="0"/>
      <w:autoSpaceDN w:val="0"/>
      <w:spacing w:before="214"/>
      <w:ind w:left="228"/>
      <w:jc w:val="left"/>
    </w:pPr>
    <w:rPr>
      <w:rFonts w:ascii="黑体" w:hAnsi="黑体" w:eastAsia="黑体" w:cs="黑体"/>
      <w:kern w:val="0"/>
      <w:szCs w:val="32"/>
      <w:lang w:eastAsia="en-US"/>
    </w:rPr>
  </w:style>
  <w:style w:type="paragraph" w:customStyle="1" w:styleId="38">
    <w:name w:val="标题 11"/>
    <w:basedOn w:val="1"/>
    <w:qFormat/>
    <w:uiPriority w:val="1"/>
    <w:pPr>
      <w:autoSpaceDE w:val="0"/>
      <w:autoSpaceDN w:val="0"/>
      <w:ind w:left="867"/>
      <w:jc w:val="left"/>
      <w:outlineLvl w:val="1"/>
    </w:pPr>
    <w:rPr>
      <w:rFonts w:ascii="楷体" w:hAnsi="楷体" w:eastAsia="楷体" w:cs="楷体"/>
      <w:b/>
      <w:bCs/>
      <w:kern w:val="0"/>
      <w:szCs w:val="32"/>
      <w:lang w:eastAsia="en-US"/>
    </w:rPr>
  </w:style>
  <w:style w:type="table" w:customStyle="1" w:styleId="39">
    <w:name w:val="Table Normal"/>
    <w:unhideWhenUsed/>
    <w:qFormat/>
    <w:uiPriority w:val="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0">
    <w:name w:val="表格标题"/>
    <w:basedOn w:val="1"/>
    <w:qFormat/>
    <w:uiPriority w:val="99"/>
    <w:pPr>
      <w:numPr>
        <w:ilvl w:val="3"/>
        <w:numId w:val="1"/>
      </w:numPr>
      <w:spacing w:line="560" w:lineRule="exact"/>
      <w:ind w:firstLineChars="0"/>
      <w:jc w:val="center"/>
    </w:pPr>
    <w:rPr>
      <w:b/>
      <w:sz w:val="30"/>
      <w:szCs w:val="24"/>
    </w:rPr>
  </w:style>
  <w:style w:type="paragraph" w:customStyle="1" w:styleId="41">
    <w:name w:val="表格"/>
    <w:qFormat/>
    <w:uiPriority w:val="99"/>
    <w:pPr>
      <w:adjustRightInd w:val="0"/>
      <w:snapToGrid w:val="0"/>
      <w:jc w:val="center"/>
    </w:pPr>
    <w:rPr>
      <w:rFonts w:ascii="Times New Roman" w:hAnsi="Times New Roman" w:eastAsia="仿宋_GB2312" w:cstheme="minorBidi"/>
      <w:kern w:val="2"/>
      <w:sz w:val="28"/>
      <w:szCs w:val="21"/>
      <w:lang w:val="en-US" w:eastAsia="zh-CN" w:bidi="ar-SA"/>
    </w:rPr>
  </w:style>
  <w:style w:type="character" w:customStyle="1" w:styleId="42">
    <w:name w:val="标题 3 字符"/>
    <w:link w:val="6"/>
    <w:qFormat/>
    <w:uiPriority w:val="9"/>
    <w:rPr>
      <w:rFonts w:ascii="Times New Roman" w:hAnsi="Times New Roman" w:eastAsia="仿宋_GB2312" w:cs="宋体"/>
      <w:b/>
      <w:kern w:val="2"/>
      <w:sz w:val="32"/>
      <w:szCs w:val="24"/>
    </w:rPr>
  </w:style>
  <w:style w:type="paragraph" w:customStyle="1" w:styleId="43">
    <w:name w:val="6正文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8"/>
      <w:lang w:val="en-US" w:eastAsia="zh-CN" w:bidi="ar-SA"/>
    </w:rPr>
  </w:style>
  <w:style w:type="paragraph" w:customStyle="1" w:styleId="44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45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207074-E820-4ECD-A0D1-47BF20287E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1076</Words>
  <Characters>1308</Characters>
  <Lines>96</Lines>
  <Paragraphs>27</Paragraphs>
  <TotalTime>308</TotalTime>
  <ScaleCrop>false</ScaleCrop>
  <LinksUpToDate>false</LinksUpToDate>
  <CharactersWithSpaces>1352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2021-11-07T03:50:00Z</dcterms:created>
  <dc:creator>28753251@qq.com</dc:creator>
  <cp:lastModifiedBy>Administrator</cp:lastModifiedBy>
  <cp:lastPrinted>2021-11-05T08:40:00Z</cp:lastPrinted>
  <dcterms:modified xsi:type="dcterms:W3CDTF">2022-09-04T11:46:04Z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91AC6EA7ECA745BEA7779EB3A9AA3A60</vt:lpwstr>
  </property>
</Properties>
</file>