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3"/>
          <w:numId w:val="0"/>
        </w:numPr>
        <w:tabs>
          <w:tab w:val="left" w:pos="5700"/>
          <w:tab w:val="center" w:pos="6979"/>
        </w:tabs>
        <w:adjustRightInd w:val="0"/>
        <w:snapToGrid w:val="0"/>
        <w:spacing w:before="156" w:beforeLines="50" w:after="156" w:afterLines="50" w:line="560" w:lineRule="exact"/>
        <w:jc w:val="center"/>
        <w:rPr>
          <w:rFonts w:ascii="Times New Roman" w:hAnsi="Times New Roman" w:eastAsia="仿宋_GB2312" w:cs="Times New Roman"/>
          <w:b/>
          <w:sz w:val="30"/>
          <w:szCs w:val="24"/>
        </w:rPr>
      </w:pPr>
      <w:bookmarkStart w:id="0" w:name="_Toc17863"/>
      <w:r>
        <w:rPr>
          <w:rFonts w:ascii="Times New Roman" w:hAnsi="Times New Roman" w:eastAsia="仿宋_GB2312" w:cs="Times New Roman"/>
          <w:b/>
          <w:sz w:val="30"/>
          <w:szCs w:val="24"/>
        </w:rPr>
        <w:t>项目绩效目标表</w:t>
      </w:r>
      <w:bookmarkEnd w:id="0"/>
    </w:p>
    <w:tbl>
      <w:tblPr>
        <w:tblStyle w:val="11"/>
        <w:tblW w:w="501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41"/>
        <w:gridCol w:w="2401"/>
        <w:gridCol w:w="1905"/>
        <w:gridCol w:w="3007"/>
        <w:gridCol w:w="1955"/>
        <w:gridCol w:w="2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项目名称</w:t>
            </w:r>
          </w:p>
        </w:tc>
        <w:tc>
          <w:tcPr>
            <w:tcW w:w="4236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  <w:lang w:bidi="ar"/>
              </w:rPr>
              <w:t>邵东市长江经济带桐江河流域生态环境综合治理及建设项目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</w:trPr>
        <w:tc>
          <w:tcPr>
            <w:tcW w:w="7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主管部门</w:t>
            </w:r>
          </w:p>
        </w:tc>
        <w:tc>
          <w:tcPr>
            <w:tcW w:w="4236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lang w:bidi="ar"/>
              </w:rPr>
              <w:t>湖南邵东经济开区管理委员会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项目实施单位</w:t>
            </w:r>
          </w:p>
        </w:tc>
        <w:tc>
          <w:tcPr>
            <w:tcW w:w="85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/>
                <w:bCs/>
                <w:sz w:val="22"/>
              </w:rPr>
              <w:t>邵东新区开发建设投资有限责任公司</w:t>
            </w: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项目负责人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联系电话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项目资金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（</w:t>
            </w:r>
            <w:r>
              <w:rPr>
                <w:rFonts w:ascii="仿宋" w:hAnsi="仿宋" w:eastAsia="仿宋" w:cs="Times New Roman"/>
                <w:sz w:val="22"/>
              </w:rPr>
              <w:t>万元</w:t>
            </w:r>
            <w:r>
              <w:rPr>
                <w:rFonts w:hint="eastAsia" w:ascii="仿宋" w:hAnsi="仿宋" w:eastAsia="仿宋" w:cs="Times New Roman"/>
                <w:sz w:val="22"/>
              </w:rPr>
              <w:t>）</w:t>
            </w:r>
          </w:p>
        </w:tc>
        <w:tc>
          <w:tcPr>
            <w:tcW w:w="4236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资金总额：</w:t>
            </w:r>
            <w:r>
              <w:rPr>
                <w:rFonts w:hint="eastAsia" w:ascii="仿宋" w:hAnsi="仿宋" w:eastAsia="仿宋" w:cs="楷体"/>
                <w:kern w:val="0"/>
                <w:sz w:val="22"/>
              </w:rPr>
              <w:t>280000</w:t>
            </w:r>
            <w:r>
              <w:rPr>
                <w:rFonts w:ascii="仿宋" w:hAnsi="仿宋" w:eastAsia="仿宋" w:cs="Times New Roman"/>
                <w:sz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4236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一、</w:t>
            </w:r>
            <w:r>
              <w:rPr>
                <w:rFonts w:hint="eastAsia" w:ascii="仿宋" w:hAnsi="仿宋" w:eastAsia="仿宋" w:cs="Times New Roman"/>
                <w:sz w:val="22"/>
              </w:rPr>
              <w:t>银行贷款</w:t>
            </w:r>
            <w:r>
              <w:rPr>
                <w:rFonts w:ascii="仿宋" w:hAnsi="仿宋" w:eastAsia="仿宋" w:cs="Times New Roman"/>
                <w:sz w:val="22"/>
              </w:rPr>
              <w:t>：</w:t>
            </w:r>
            <w:r>
              <w:rPr>
                <w:rFonts w:hint="eastAsia" w:ascii="仿宋" w:hAnsi="仿宋" w:eastAsia="仿宋" w:cs="Times New Roman"/>
                <w:bCs/>
                <w:sz w:val="22"/>
              </w:rPr>
              <w:t>100000</w:t>
            </w:r>
            <w:r>
              <w:rPr>
                <w:rFonts w:ascii="仿宋" w:hAnsi="仿宋" w:eastAsia="仿宋" w:cs="Times New Roman"/>
                <w:sz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4236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二、其他资金：</w:t>
            </w:r>
            <w:r>
              <w:rPr>
                <w:rFonts w:hint="eastAsia" w:ascii="仿宋" w:hAnsi="仿宋" w:eastAsia="仿宋" w:cs="Times New Roman"/>
                <w:bCs/>
                <w:sz w:val="22"/>
              </w:rPr>
              <w:t>180000</w:t>
            </w:r>
            <w:r>
              <w:rPr>
                <w:rFonts w:ascii="仿宋" w:hAnsi="仿宋" w:eastAsia="仿宋" w:cs="Times New Roman"/>
                <w:sz w:val="22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</w:trPr>
        <w:tc>
          <w:tcPr>
            <w:tcW w:w="763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项目实施进度计划</w:t>
            </w:r>
          </w:p>
        </w:tc>
        <w:tc>
          <w:tcPr>
            <w:tcW w:w="2607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开始时间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2607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2021</w:t>
            </w:r>
            <w:r>
              <w:rPr>
                <w:rFonts w:hint="eastAsia" w:ascii="仿宋" w:hAnsi="仿宋" w:eastAsia="仿宋" w:cs="Times New Roman"/>
                <w:sz w:val="22"/>
              </w:rPr>
              <w:t>年9月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202</w:t>
            </w:r>
            <w:r>
              <w:rPr>
                <w:rFonts w:hint="eastAsia" w:ascii="仿宋" w:hAnsi="仿宋" w:eastAsia="仿宋" w:cs="Times New Roman"/>
                <w:sz w:val="22"/>
              </w:rPr>
              <w:t>4</w:t>
            </w:r>
            <w:r>
              <w:rPr>
                <w:rFonts w:ascii="仿宋" w:hAnsi="仿宋" w:eastAsia="仿宋" w:cs="Times New Roman"/>
                <w:sz w:val="22"/>
              </w:rPr>
              <w:t>年</w:t>
            </w:r>
            <w:r>
              <w:rPr>
                <w:rFonts w:hint="eastAsia" w:ascii="仿宋" w:hAnsi="仿宋" w:eastAsia="仿宋" w:cs="Times New Roman"/>
                <w:sz w:val="22"/>
              </w:rPr>
              <w:t>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763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项目绩效目标</w:t>
            </w:r>
          </w:p>
        </w:tc>
        <w:tc>
          <w:tcPr>
            <w:tcW w:w="4236" w:type="pct"/>
            <w:gridSpan w:val="5"/>
            <w:vMerge w:val="restart"/>
            <w:vAlign w:val="center"/>
          </w:tcPr>
          <w:p>
            <w:pPr>
              <w:widowControl/>
              <w:ind w:firstLine="440" w:firstLineChars="200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bidi="ar"/>
              </w:rPr>
              <w:t>项目建设内容：1、桐江河流域智慧监管系统:</w:t>
            </w:r>
            <w:r>
              <w:rPr>
                <w:rFonts w:hint="eastAsia" w:ascii="仿宋" w:hAnsi="仿宋" w:eastAsia="仿宋" w:cs="仿宋"/>
                <w:sz w:val="22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2"/>
                <w:lang w:bidi="ar"/>
              </w:rPr>
              <w:t>建设桐江河流域生态保护精细化监测网、运营指挥中心及流域生态保护大数据应用平台，进行长效运营服务，提高桐江河流域生态环境智慧监管能力和运营指挥决策能力。2、桐江河流域综合治理工程：（1）滨河生态缓冲带（一期、三期）。通过建设沿河8 km生态缓冲带建设及边坡修复，以及8 km路网及其配套管线、路灯、步道及绿化带，以改善周边交通，便民出行，提升周边环境质量，控制外源污染。（2）桐江河生态修复（一期）。通过建设桐江河8 km范围清淤疏浚、8 km河道生态修复，提升桐江河水质，改善周边环境。（3）槎江河生态治理（二期）。通过建设槎江河2.5 km范围清淤疏浚及河道生态修复，提升槎江河水质，改善周边环境，为开发区创造更好营商环境。（4）安全饮水及水土资源循环利用。建设邵东市污泥处置工程100吨/天（一期）、兴隆第一水厂扩容1万吨/天（一期）、兴隆第一水厂取水口改造至3万吨/天（一期）、邵东市第三水厂10万吨/天（二期）、邵东市兴隆污水厂2万吨/天深度处理工程（二期），确保邵东市引水安全，提高邵东市水及污泥资源循环利用率，创建新型节水城市。</w:t>
            </w:r>
            <w:r>
              <w:rPr>
                <w:rFonts w:hint="eastAsia" w:ascii="仿宋" w:hAnsi="仿宋" w:eastAsia="仿宋" w:cs="仿宋"/>
                <w:sz w:val="22"/>
                <w:lang w:bidi="ar"/>
              </w:rPr>
              <w:t>（5）城市防洪（三期）。通过12 km防洪堤坝及其配套工程，提高防洪堤坝防洪等级，确保人民群众生产生活安全。</w:t>
            </w: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仿宋" w:hAnsi="仿宋" w:eastAsia="仿宋" w:cs="楷体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本项目建成后，一方面项目的实施有助于完善邵东市城市功能，提升城市地位；另一方面项目的建设可为当地居民增加直接就业岗位，增加居民收入，能带动相关产业的发展，可部分缓解日趋严峻的社会就业压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4236" w:type="pct"/>
            <w:gridSpan w:val="5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</w:trPr>
        <w:tc>
          <w:tcPr>
            <w:tcW w:w="763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项目绩效指标</w:t>
            </w:r>
          </w:p>
        </w:tc>
        <w:tc>
          <w:tcPr>
            <w:tcW w:w="85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一级指标</w:t>
            </w: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二级指标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三级指标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指标值及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单位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产出指标</w:t>
            </w:r>
          </w:p>
        </w:tc>
        <w:tc>
          <w:tcPr>
            <w:tcW w:w="679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数量指标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bidi="ar"/>
              </w:rPr>
              <w:t>桐江河流域智慧监管系统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个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lang w:bidi="ar"/>
              </w:rPr>
              <w:t>桐江河流域综合治理工程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个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质量指标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合格率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≥95%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时效指标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完工时间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3年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成本指标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万元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楷体"/>
                <w:kern w:val="0"/>
                <w:sz w:val="22"/>
              </w:rPr>
              <w:t>475,848.88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经济效益指标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带动行业发展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促进邵东全面深化改革、促进结构调整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带动行业发展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社会效益指标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对居民</w:t>
            </w:r>
            <w:r>
              <w:rPr>
                <w:rFonts w:hint="eastAsia" w:ascii="仿宋" w:hAnsi="仿宋" w:eastAsia="仿宋" w:cs="Times New Roman"/>
                <w:sz w:val="22"/>
              </w:rPr>
              <w:t>经济</w:t>
            </w:r>
            <w:r>
              <w:rPr>
                <w:rFonts w:ascii="仿宋" w:hAnsi="仿宋" w:eastAsia="仿宋" w:cs="Times New Roman"/>
                <w:sz w:val="22"/>
              </w:rPr>
              <w:t>影响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增加居民收入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增加居民收入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对居民就业影响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增加居民</w:t>
            </w:r>
            <w:r>
              <w:rPr>
                <w:rFonts w:hint="eastAsia" w:ascii="仿宋" w:hAnsi="仿宋" w:eastAsia="仿宋" w:cs="Times New Roman"/>
                <w:sz w:val="22"/>
              </w:rPr>
              <w:t>就业机会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增加居民就业机会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5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生态效益指标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改善旅游环境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效果显著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可持续影响指标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促进旅游业发展，弘扬当地民俗文化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效果显著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763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856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社会公众或服务对象满意度指标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公众社会满意度</w:t>
            </w:r>
          </w:p>
        </w:tc>
        <w:tc>
          <w:tcPr>
            <w:tcW w:w="6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≥90%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≥90%</w:t>
            </w:r>
          </w:p>
        </w:tc>
      </w:tr>
    </w:tbl>
    <w:p>
      <w:pPr>
        <w:spacing w:before="312" w:beforeLines="100" w:after="156" w:afterLines="50" w:line="360" w:lineRule="auto"/>
      </w:pPr>
      <w:bookmarkStart w:id="1" w:name="_GoBack"/>
      <w:bookmarkEnd w:id="1"/>
    </w:p>
    <w:sectPr>
      <w:headerReference r:id="rId3" w:type="default"/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F6523"/>
    <w:multiLevelType w:val="multilevel"/>
    <w:tmpl w:val="001F6523"/>
    <w:lvl w:ilvl="0" w:tentative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  <w:sz w:val="4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N2RjYmNjYWQwOTI1ZWE0YmViMDdiYWM1Mzg1OGYifQ=="/>
  </w:docVars>
  <w:rsids>
    <w:rsidRoot w:val="36FA11AD"/>
    <w:rsid w:val="0011037C"/>
    <w:rsid w:val="007F5D68"/>
    <w:rsid w:val="0088480A"/>
    <w:rsid w:val="00AA0A43"/>
    <w:rsid w:val="00AB6D74"/>
    <w:rsid w:val="00C44DF4"/>
    <w:rsid w:val="00DC1ABE"/>
    <w:rsid w:val="00DD7EDC"/>
    <w:rsid w:val="00E143AF"/>
    <w:rsid w:val="00E40CA9"/>
    <w:rsid w:val="0B37705F"/>
    <w:rsid w:val="0CE16FCB"/>
    <w:rsid w:val="125667C3"/>
    <w:rsid w:val="12B061EF"/>
    <w:rsid w:val="155B58A5"/>
    <w:rsid w:val="17676D09"/>
    <w:rsid w:val="1D586145"/>
    <w:rsid w:val="1DE80049"/>
    <w:rsid w:val="1E4A3A2F"/>
    <w:rsid w:val="25622289"/>
    <w:rsid w:val="25C267EC"/>
    <w:rsid w:val="2D9F393D"/>
    <w:rsid w:val="2DE71F97"/>
    <w:rsid w:val="31F529AA"/>
    <w:rsid w:val="32CE6867"/>
    <w:rsid w:val="32EC09EF"/>
    <w:rsid w:val="347B3ADE"/>
    <w:rsid w:val="36FA11AD"/>
    <w:rsid w:val="3A360CC0"/>
    <w:rsid w:val="3F612408"/>
    <w:rsid w:val="3F9A0450"/>
    <w:rsid w:val="405E18E2"/>
    <w:rsid w:val="4249501F"/>
    <w:rsid w:val="43BE7384"/>
    <w:rsid w:val="455405D5"/>
    <w:rsid w:val="456A43E7"/>
    <w:rsid w:val="46AB45E5"/>
    <w:rsid w:val="47F12AE9"/>
    <w:rsid w:val="4ADA6C93"/>
    <w:rsid w:val="4D534E86"/>
    <w:rsid w:val="51FF6B95"/>
    <w:rsid w:val="58F5287D"/>
    <w:rsid w:val="5CB05122"/>
    <w:rsid w:val="62D85907"/>
    <w:rsid w:val="647F6FFC"/>
    <w:rsid w:val="67862582"/>
    <w:rsid w:val="67EE6F6E"/>
    <w:rsid w:val="68F255AB"/>
    <w:rsid w:val="6ACA53B0"/>
    <w:rsid w:val="6B0340C7"/>
    <w:rsid w:val="6BA60D52"/>
    <w:rsid w:val="6BB7651A"/>
    <w:rsid w:val="6BB90492"/>
    <w:rsid w:val="6BEA2882"/>
    <w:rsid w:val="6E567226"/>
    <w:rsid w:val="6EBB6FD5"/>
    <w:rsid w:val="76F611B7"/>
    <w:rsid w:val="797C000C"/>
    <w:rsid w:val="7B2C4233"/>
    <w:rsid w:val="7BF846ED"/>
    <w:rsid w:val="7C551B8D"/>
    <w:rsid w:val="7FB4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3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center"/>
      <w:outlineLvl w:val="1"/>
    </w:pPr>
    <w:rPr>
      <w:rFonts w:hint="eastAsia" w:ascii="宋体" w:hAnsi="宋体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3"/>
    <w:pPr>
      <w:keepNext/>
      <w:keepLines/>
      <w:numPr>
        <w:ilvl w:val="2"/>
        <w:numId w:val="1"/>
      </w:numPr>
      <w:spacing w:before="120" w:after="120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widowControl/>
      <w:adjustRightInd w:val="0"/>
      <w:snapToGrid w:val="0"/>
      <w:jc w:val="center"/>
    </w:pPr>
    <w:rPr>
      <w:rFonts w:ascii="Times New Roman" w:hAnsi="Times New Roman" w:eastAsia="宋体" w:cs="Times New Roman"/>
      <w:szCs w:val="21"/>
    </w:rPr>
  </w:style>
  <w:style w:type="paragraph" w:styleId="3">
    <w:name w:val="Body Text"/>
    <w:basedOn w:val="1"/>
    <w:unhideWhenUsed/>
    <w:qFormat/>
    <w:uiPriority w:val="0"/>
    <w:pPr>
      <w:spacing w:before="135" w:line="360" w:lineRule="auto"/>
      <w:ind w:left="620" w:firstLine="200" w:firstLineChars="200"/>
    </w:pPr>
    <w:rPr>
      <w:rFonts w:ascii="宋体" w:eastAsia="仿宋"/>
      <w:sz w:val="24"/>
    </w:rPr>
  </w:style>
  <w:style w:type="paragraph" w:styleId="6">
    <w:name w:val="Body Text Indent"/>
    <w:basedOn w:val="1"/>
    <w:link w:val="15"/>
    <w:unhideWhenUsed/>
    <w:qFormat/>
    <w:uiPriority w:val="0"/>
    <w:pPr>
      <w:spacing w:after="120"/>
      <w:ind w:left="420" w:leftChars="200"/>
    </w:pPr>
  </w:style>
  <w:style w:type="paragraph" w:styleId="7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8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next w:val="7"/>
    <w:unhideWhenUsed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0">
    <w:name w:val="Body Text First Indent 2"/>
    <w:basedOn w:val="6"/>
    <w:link w:val="16"/>
    <w:unhideWhenUsed/>
    <w:qFormat/>
    <w:uiPriority w:val="99"/>
    <w:pPr>
      <w:ind w:firstLine="420" w:firstLineChars="200"/>
    </w:p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 w:val="32"/>
      <w:szCs w:val="32"/>
      <w:lang w:eastAsia="en-US"/>
    </w:rPr>
  </w:style>
  <w:style w:type="character" w:customStyle="1" w:styleId="15">
    <w:name w:val="正文文本缩进 字符"/>
    <w:basedOn w:val="12"/>
    <w:link w:val="6"/>
    <w:qFormat/>
    <w:uiPriority w:val="0"/>
    <w:rPr>
      <w:rFonts w:hint="eastAsia" w:ascii="等线" w:hAnsi="等线" w:eastAsia="等线" w:cs="Times New Roman"/>
      <w:kern w:val="2"/>
      <w:sz w:val="21"/>
      <w:szCs w:val="22"/>
    </w:rPr>
  </w:style>
  <w:style w:type="character" w:customStyle="1" w:styleId="16">
    <w:name w:val="正文文本首行缩进 2 字符"/>
    <w:basedOn w:val="15"/>
    <w:link w:val="10"/>
    <w:qFormat/>
    <w:uiPriority w:val="0"/>
    <w:rPr>
      <w:rFonts w:hint="eastAsia" w:ascii="等线" w:hAnsi="等线" w:eastAsia="等线" w:cs="Times New Roman"/>
      <w:kern w:val="2"/>
      <w:sz w:val="21"/>
      <w:szCs w:val="22"/>
    </w:rPr>
  </w:style>
  <w:style w:type="character" w:customStyle="1" w:styleId="17">
    <w:name w:val="页脚 字符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1038</Words>
  <Characters>1089</Characters>
  <Lines>186</Lines>
  <Paragraphs>52</Paragraphs>
  <TotalTime>42</TotalTime>
  <ScaleCrop>false</ScaleCrop>
  <LinksUpToDate>false</LinksUpToDate>
  <CharactersWithSpaces>1138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2021-11-14T07:33:00Z</dcterms:created>
  <dc:creator>15598</dc:creator>
  <cp:lastModifiedBy>Administrator</cp:lastModifiedBy>
  <dcterms:modified xsi:type="dcterms:W3CDTF">2022-09-04T11:44:57Z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1AC46438D3BC4328AB2613626BC86E97</vt:lpwstr>
  </property>
</Properties>
</file>