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default" w:eastAsia="仿宋_GB2312"/>
          <w:b/>
          <w:bCs/>
          <w:color w:val="auto"/>
          <w:spacing w:val="0"/>
          <w:sz w:val="20"/>
          <w:szCs w:val="22"/>
          <w:lang w:val="en-US" w:eastAsia="zh-CN"/>
        </w:rPr>
      </w:pP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今年以来，全市上下深入贯彻市委市政府经济工作会议精神，以“稳居全省五强、挺进全国百强”为总的目标。因疫情影响1-2月经济下行，3月份经济逐渐复苏，但一季度总体经济下行趋势明显。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pacing w:val="0"/>
          <w:sz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2"/>
          <w:lang w:eastAsia="zh-CN"/>
        </w:rPr>
        <w:t>经济总量下降明显。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一季度，全市全年实现地区生产总值(GDP)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1298654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万元，同比下降2.2%，其中一产业增加值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72130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万元，下降3.1%，二产业增加值增长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360807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万元，下降3.6%，三产业增加值增长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865717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万元，下降1.5%，三次产业结构比为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5.5:27.8:66.7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2"/>
          <w:lang w:val="en-US" w:eastAsia="zh-CN"/>
        </w:rPr>
        <w:t>二、农业发展基本平稳。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一季度，全市实现农林牧渔服务业总产值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131207.15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万元,同比下降3.4%。其中：农业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61612.70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4.4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%；林业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1018.49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333.9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%；牧业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53404.79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万元，下降17.8%；渔业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10209.06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0.7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%；农林牧渔服务业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4962.19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8.5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sectPr>
          <w:footerReference r:id="rId3" w:type="default"/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bCs/>
          <w:color w:val="auto"/>
          <w:spacing w:val="0"/>
          <w:sz w:val="20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2"/>
          <w:lang w:val="en-US" w:eastAsia="zh-CN"/>
        </w:rPr>
        <w:t>三、工业发展企稳回升。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一季度，全市规上工业总产值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1105905万元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，下降0.76%。规模以上工业增加值完成266014万元，同比下降2.5%。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u w:val="none"/>
          <w:lang w:val="en-US" w:eastAsia="zh-CN"/>
        </w:rPr>
        <w:t>高新技术产业增加值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u w:val="none"/>
          <w:lang w:val="en-US" w:eastAsia="zh-CN"/>
        </w:rPr>
        <w:t>17.18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u w:val="none"/>
          <w:lang w:val="en-US" w:eastAsia="zh-CN"/>
        </w:rPr>
        <w:t>亿元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，工业用电量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11566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万千瓦时，下降11.72%。</w:t>
      </w:r>
      <w:r>
        <w:rPr>
          <w:rFonts w:hint="eastAsia" w:eastAsia="仿宋_GB2312"/>
          <w:b/>
          <w:bCs/>
          <w:color w:val="auto"/>
          <w:spacing w:val="0"/>
          <w:sz w:val="20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2"/>
          <w:lang w:val="en-US" w:eastAsia="zh-CN"/>
        </w:rPr>
        <w:t>四、投资消费降幅收窄。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一季度，全市完成固定资产投资总额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315504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万元，同比下降0.1%，其中产业投资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139162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万元，占比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44.11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%。全市社会消费品零售总额完成521824.8万元，同比下降10%。外贸发展趋紧，实际利用内资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189100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万元，同比下降7.03%，实际利用外资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0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 xml:space="preserve">万美元。全市完成进出口总额 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30827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万美元，同比增长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 xml:space="preserve"> 46.9</w:t>
      </w:r>
      <w:r>
        <w:rPr>
          <w:rFonts w:hint="eastAsia" w:eastAsia="仿宋_GB2312"/>
          <w:b/>
          <w:bCs/>
          <w:color w:val="auto"/>
          <w:spacing w:val="0"/>
          <w:sz w:val="20"/>
          <w:szCs w:val="2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2"/>
          <w:lang w:val="en-US" w:eastAsia="zh-CN"/>
        </w:rPr>
        <w:t>五、财政收入明显下滑。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一季度，财政总收入完成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52717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万元，同比下降14.25%，税收收入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41972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万元，税收占总财政收入比重为79.62%。其中一般预算收入31331万元，下降17.65%，一般公共预算支出140553万元。居民收入持续增加。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一季度，城镇居民人均可支配收入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8351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元，同比增长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2"/>
          <w:lang w:val="en-US" w:eastAsia="zh-CN"/>
        </w:rPr>
        <w:t>1.7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%，农村居民人均可支配收入4968元</w:t>
      </w:r>
      <w:r>
        <w:rPr>
          <w:rFonts w:hint="eastAsia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，增长5.2%。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0"/>
          <w:szCs w:val="20"/>
          <w:lang w:val="en-US" w:eastAsia="zh-CN"/>
        </w:rPr>
        <w:t>六、金融信贷较为活跃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0"/>
          <w:szCs w:val="20"/>
          <w:lang w:val="en-US" w:eastAsia="zh-CN"/>
        </w:rPr>
        <w:t>。一季度，我市金融机构各项存款余额5293650万元，比上月增加133358万元，比年初增长397382万元，去年同期比年初增加328852万元。贷款余额2952855万元，比上月增加115110万元，比年初增加226811万元，去年同期比年初增加数为122584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邵阳市各县（市、区）G D 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累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0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szCs w:val="20"/>
              </w:rPr>
              <w:t>全</w:t>
            </w:r>
            <w:r>
              <w:rPr>
                <w:rStyle w:val="8"/>
                <w:rFonts w:hint="eastAsia" w:ascii="黑体" w:eastAsia="黑体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黑体" w:eastAsia="黑体"/>
                <w:color w:val="auto"/>
                <w:sz w:val="20"/>
                <w:szCs w:val="20"/>
              </w:rPr>
              <w:t>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4681533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双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368425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-2.4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大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396856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北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106056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邵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1298654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新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361240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邵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397659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隆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500770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洞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380244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绥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207134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新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254733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城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121579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  <w:szCs w:val="20"/>
              </w:rPr>
              <w:t>武</w:t>
            </w:r>
            <w:r>
              <w:rPr>
                <w:rStyle w:val="8"/>
                <w:rFonts w:eastAsia="仿宋_GB2312"/>
                <w:color w:val="auto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  <w:sz w:val="20"/>
                <w:szCs w:val="20"/>
              </w:rPr>
              <w:t>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310101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tbl>
      <w:tblPr>
        <w:tblStyle w:val="5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-7.9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-4.9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-14.0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</w:t>
            </w:r>
            <w:r>
              <w:rPr>
                <w:rStyle w:val="9"/>
                <w:rFonts w:hint="default"/>
                <w:color w:val="auto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2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71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-9.1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清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-9.1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祥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-7.9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塔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东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邵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阳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回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口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-61.8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-8.0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步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冈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3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-11.3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清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-15.2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祥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-10.2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塔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东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邵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-10.7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阳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-10.6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回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-10.3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口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-12.6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宁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-10.4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宁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-12.5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步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-13.1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冈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-10.5 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3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94"/>
        <w:gridCol w:w="1374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223151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本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级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59171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-28.31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16.32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31331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-17.65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17054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15492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16109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14653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-29.17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17473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11.23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8"/>
        <w:gridCol w:w="1283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利润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亏损面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总额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总额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（万元）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（万元）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default" w:ascii="黑体" w:eastAsia="黑体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eastAsia" w:ascii="黑体" w:eastAsia="黑体"/>
                <w:b/>
                <w:bCs/>
                <w:color w:val="auto"/>
              </w:rPr>
              <w:t>市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清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祥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塔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东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邵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阳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回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口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宁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宁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步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</w:rPr>
              <w:t>冈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23"/>
        <w:gridCol w:w="1405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371013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-2.36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本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级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110870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-35.03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10.26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52717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-14.25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27464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23920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24857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-20.97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-28.91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5508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5460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8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8"/>
                <w:rFonts w:hint="eastAsia" w:eastAsia="仿宋_GB2312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auto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1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3063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2298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4272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auto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auto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auto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auto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产业投资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-2.8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249.9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-19.1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-12.1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-6.8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33.3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-48.4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-6.3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137.2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auto"/>
          <w:kern w:val="2"/>
          <w:sz w:val="20"/>
          <w:szCs w:val="20"/>
          <w:lang w:val="zh-CN"/>
        </w:rPr>
      </w:pPr>
      <w:r>
        <w:rPr>
          <w:rFonts w:eastAsia="仿宋_GB2312"/>
          <w:b/>
          <w:color w:val="auto"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color w:val="auto"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156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4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04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一、生产总值（GDP）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1298654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第一产业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360807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第三产业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865717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二、农业总产值（现价）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131207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1105905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增加值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266014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color w:val="auto"/>
                <w:sz w:val="20"/>
              </w:rPr>
              <w:t>股份制企业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253334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color w:val="auto"/>
                <w:spacing w:val="-11"/>
                <w:sz w:val="20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color w:val="auto"/>
                <w:spacing w:val="-11"/>
                <w:sz w:val="20"/>
              </w:rPr>
              <w:t>外商及港澳台企</w:t>
            </w:r>
            <w:r>
              <w:rPr>
                <w:rFonts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总计中：国有及控股企业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05" w:firstLineChars="650"/>
              <w:textAlignment w:val="auto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93347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0" w:firstLineChars="259"/>
              <w:textAlignment w:val="auto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223422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04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工业产品销售产值（现价）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1097306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工业产品销售（%）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99.22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tbl>
      <w:tblPr>
        <w:tblStyle w:val="5"/>
        <w:tblW w:w="548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264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44734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2" w:firstLineChars="200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11566</w:t>
            </w:r>
          </w:p>
        </w:tc>
        <w:tc>
          <w:tcPr>
            <w:tcW w:w="1250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6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315504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其中：房地产投资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60607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251410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521824.8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02" w:firstLineChars="3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461692.3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jc w:val="both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eastAsia="zh-CN"/>
              </w:rPr>
              <w:t>乡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村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60132.5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02" w:firstLineChars="3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51050.1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jc w:val="both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410125.1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11364.8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49284.8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248665.2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273159.6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实际利用外资额（万美元）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189100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-7.03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自营进出口总额（万美元）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 w:firstLineChars="2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04" w:firstLineChars="5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30168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5"/>
        <w:tblW w:w="5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357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52717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41972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-8.77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31331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46535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17242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eastAsia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、财政总支出</w:t>
            </w: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184626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default" w:eastAsia="仿宋_GB2312"/>
                <w:b/>
                <w:color w:val="auto"/>
                <w:sz w:val="20"/>
                <w:lang w:val="en-US" w:eastAsia="zh-CN"/>
              </w:rPr>
              <w:t>一般预算支出</w:t>
            </w: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140553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default" w:eastAsia="仿宋_GB2312"/>
                <w:b/>
                <w:color w:val="auto"/>
                <w:sz w:val="20"/>
                <w:lang w:val="en-US" w:eastAsia="zh-CN"/>
              </w:rPr>
              <w:t>政府性基金支出</w:t>
            </w:r>
          </w:p>
        </w:tc>
        <w:tc>
          <w:tcPr>
            <w:tcW w:w="13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44073</w:t>
            </w: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-38.93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214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8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8"/>
                <w:kern w:val="0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8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auto"/>
                <w:sz w:val="20"/>
              </w:rPr>
              <w:t>（季报）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auto"/>
                <w:spacing w:val="-1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、城镇居民人均可支配收入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pacing w:val="-16"/>
                <w:sz w:val="20"/>
              </w:rPr>
            </w:pPr>
            <w:r>
              <w:rPr>
                <w:rFonts w:eastAsia="仿宋_GB2312"/>
                <w:b/>
                <w:color w:val="auto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auto"/>
                <w:spacing w:val="-16"/>
                <w:sz w:val="20"/>
              </w:rPr>
              <w:t>、农村居民人均可支配收入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sz w:val="20"/>
              </w:rPr>
              <w:t>十一、交通运输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全社会客运量（万人）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客运周转量（万人公里）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全社会货运量（万吨）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周转量（万吨公里）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tbl>
      <w:tblPr>
        <w:tblStyle w:val="5"/>
        <w:tblpPr w:leftFromText="180" w:rightFromText="180" w:vertAnchor="text" w:horzAnchor="page" w:tblpX="516" w:tblpY="8"/>
        <w:tblOverlap w:val="never"/>
        <w:tblW w:w="5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067"/>
        <w:gridCol w:w="919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上月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上月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6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5293650</w:t>
            </w:r>
          </w:p>
        </w:tc>
        <w:tc>
          <w:tcPr>
            <w:tcW w:w="91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133358</w:t>
            </w:r>
          </w:p>
        </w:tc>
        <w:tc>
          <w:tcPr>
            <w:tcW w:w="904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10"/>
                <w:rFonts w:eastAsia="仿宋_GB2312"/>
                <w:color w:val="auto"/>
              </w:rPr>
              <w:t>国有商业银行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2387012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60507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农村</w:t>
            </w:r>
            <w:r>
              <w:rPr>
                <w:rStyle w:val="10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1396650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40272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住户存款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4198426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102552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非金融企业存款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662031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25961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广义政府存款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432796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4847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2952855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115110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10"/>
                <w:rFonts w:eastAsia="仿宋_GB2312"/>
                <w:color w:val="auto"/>
              </w:rPr>
              <w:t>国有商业银行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107424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42095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10"/>
                <w:rFonts w:eastAsia="仿宋_GB2312"/>
                <w:color w:val="auto"/>
              </w:rPr>
              <w:t>农村</w:t>
            </w:r>
            <w:r>
              <w:rPr>
                <w:rStyle w:val="10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934235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30281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住户贷款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1539258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35256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</w:t>
            </w:r>
            <w:r>
              <w:rPr>
                <w:rStyle w:val="10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795379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经营贷款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743879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14670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10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1413597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79854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  <w:lang w:eastAsia="zh-CN"/>
        </w:rPr>
      </w:pPr>
    </w:p>
    <w:sectPr>
      <w:footerReference r:id="rId4" w:type="default"/>
      <w:pgSz w:w="8419" w:h="11906"/>
      <w:pgMar w:top="1701" w:right="340" w:bottom="1417" w:left="2699" w:header="567" w:footer="1417" w:gutter="0"/>
      <w:pgNumType w:fmt="decimal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0C35FA2"/>
    <w:rsid w:val="019B2560"/>
    <w:rsid w:val="03505C91"/>
    <w:rsid w:val="04D54552"/>
    <w:rsid w:val="08396CB3"/>
    <w:rsid w:val="08402229"/>
    <w:rsid w:val="08BF11E4"/>
    <w:rsid w:val="08EE58C2"/>
    <w:rsid w:val="09BE4B56"/>
    <w:rsid w:val="0AD92B22"/>
    <w:rsid w:val="0B2531DC"/>
    <w:rsid w:val="0B4A2A8C"/>
    <w:rsid w:val="0BB67A41"/>
    <w:rsid w:val="0C1E08BC"/>
    <w:rsid w:val="0C2B6485"/>
    <w:rsid w:val="0C3356E0"/>
    <w:rsid w:val="0C5C619C"/>
    <w:rsid w:val="0D806369"/>
    <w:rsid w:val="0DAD7622"/>
    <w:rsid w:val="0DD13305"/>
    <w:rsid w:val="113C0B4B"/>
    <w:rsid w:val="14010B94"/>
    <w:rsid w:val="146F4BEC"/>
    <w:rsid w:val="16C9322A"/>
    <w:rsid w:val="1737135E"/>
    <w:rsid w:val="1A6A2537"/>
    <w:rsid w:val="1AE97F9A"/>
    <w:rsid w:val="1CA1374D"/>
    <w:rsid w:val="1CDD27F3"/>
    <w:rsid w:val="1FDA3E43"/>
    <w:rsid w:val="2048656B"/>
    <w:rsid w:val="215A254F"/>
    <w:rsid w:val="22B26FF0"/>
    <w:rsid w:val="250B0724"/>
    <w:rsid w:val="251557A9"/>
    <w:rsid w:val="258A02D3"/>
    <w:rsid w:val="265A0FFA"/>
    <w:rsid w:val="28027E16"/>
    <w:rsid w:val="28097CF3"/>
    <w:rsid w:val="28457FE4"/>
    <w:rsid w:val="28C71B72"/>
    <w:rsid w:val="298878C0"/>
    <w:rsid w:val="29C6377B"/>
    <w:rsid w:val="2BC55815"/>
    <w:rsid w:val="2C432DE0"/>
    <w:rsid w:val="2CB57E54"/>
    <w:rsid w:val="2CE5752C"/>
    <w:rsid w:val="2D445CBA"/>
    <w:rsid w:val="2DB97987"/>
    <w:rsid w:val="2E9F54AD"/>
    <w:rsid w:val="2F4817AF"/>
    <w:rsid w:val="30060363"/>
    <w:rsid w:val="30104CDD"/>
    <w:rsid w:val="31784DAB"/>
    <w:rsid w:val="3208775A"/>
    <w:rsid w:val="337E2698"/>
    <w:rsid w:val="33964712"/>
    <w:rsid w:val="35245044"/>
    <w:rsid w:val="3670418F"/>
    <w:rsid w:val="3B6607CA"/>
    <w:rsid w:val="3C1C5F8C"/>
    <w:rsid w:val="3CB24F3E"/>
    <w:rsid w:val="3D134381"/>
    <w:rsid w:val="3E7F6025"/>
    <w:rsid w:val="3EBB2BFA"/>
    <w:rsid w:val="41F56633"/>
    <w:rsid w:val="460D69F1"/>
    <w:rsid w:val="463A4C1F"/>
    <w:rsid w:val="464B7BAC"/>
    <w:rsid w:val="46B74754"/>
    <w:rsid w:val="46F92E21"/>
    <w:rsid w:val="477508B6"/>
    <w:rsid w:val="489521B4"/>
    <w:rsid w:val="496867CD"/>
    <w:rsid w:val="4CC648DF"/>
    <w:rsid w:val="4CF064FB"/>
    <w:rsid w:val="4CFC3CEB"/>
    <w:rsid w:val="520B3525"/>
    <w:rsid w:val="5234411B"/>
    <w:rsid w:val="5436284D"/>
    <w:rsid w:val="5AE346E7"/>
    <w:rsid w:val="5C17457B"/>
    <w:rsid w:val="5CD11C87"/>
    <w:rsid w:val="5E411CA3"/>
    <w:rsid w:val="5FB21402"/>
    <w:rsid w:val="603E45C2"/>
    <w:rsid w:val="608F3425"/>
    <w:rsid w:val="60AF51DD"/>
    <w:rsid w:val="60DA050C"/>
    <w:rsid w:val="62632E2D"/>
    <w:rsid w:val="6318641E"/>
    <w:rsid w:val="639E05BF"/>
    <w:rsid w:val="642D5CC5"/>
    <w:rsid w:val="645B3CB0"/>
    <w:rsid w:val="66043C54"/>
    <w:rsid w:val="67F81FF3"/>
    <w:rsid w:val="68303A67"/>
    <w:rsid w:val="68393A0E"/>
    <w:rsid w:val="6937472A"/>
    <w:rsid w:val="6AC33311"/>
    <w:rsid w:val="6B910314"/>
    <w:rsid w:val="6BCC2AFF"/>
    <w:rsid w:val="6C0833C6"/>
    <w:rsid w:val="6C6E0D25"/>
    <w:rsid w:val="6CC25390"/>
    <w:rsid w:val="6CCF6E4A"/>
    <w:rsid w:val="6D535020"/>
    <w:rsid w:val="6E9B214B"/>
    <w:rsid w:val="6EC715DB"/>
    <w:rsid w:val="6FE650B6"/>
    <w:rsid w:val="7003211C"/>
    <w:rsid w:val="733523DD"/>
    <w:rsid w:val="76D91871"/>
    <w:rsid w:val="77007465"/>
    <w:rsid w:val="773A4EEB"/>
    <w:rsid w:val="77B1471B"/>
    <w:rsid w:val="7A915F60"/>
    <w:rsid w:val="7C434D1E"/>
    <w:rsid w:val="7DF76957"/>
    <w:rsid w:val="7E345024"/>
    <w:rsid w:val="7E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12</TotalTime>
  <ScaleCrop>false</ScaleCrop>
  <LinksUpToDate>false</LinksUpToDate>
  <CharactersWithSpaces>7506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Administrator</cp:lastModifiedBy>
  <cp:lastPrinted>2019-05-09T02:10:00Z</cp:lastPrinted>
  <dcterms:modified xsi:type="dcterms:W3CDTF">2020-05-09T00:08:38Z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