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市级部门（单位）整体支出绩效自评报告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614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一、部门（单位）基本概况</w:t>
      </w:r>
    </w:p>
    <w:p>
      <w:pPr>
        <w:spacing w:line="520" w:lineRule="exact"/>
        <w:ind w:firstLine="614" w:firstLineChars="19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部门（单位）职能及组成，人员结构情况，2022年度财政收支和年末固定资产状况，财政财务管理制度及执行情况。</w:t>
      </w:r>
    </w:p>
    <w:p>
      <w:pPr>
        <w:pStyle w:val="7"/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部门职能：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一）承担城市市政基础设施维护管理的责任。参与新建城市市政基础设施的立项、设计、验收；负责市政设施维修养护（其中道路为中修以下）工程的立项设计施工管理；负责城市道路挖掘管理；负责城市亮化规划计划（不含新建道路、桥梁和基础设施）、建设和维修养护管理；负责城区防汛工作。（二）负责市政公用设施地下管线工程档案管理。</w:t>
      </w:r>
    </w:p>
    <w:p>
      <w:pPr>
        <w:pStyle w:val="7"/>
        <w:numPr>
          <w:ilvl w:val="0"/>
          <w:numId w:val="1"/>
        </w:numPr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负责编报城市市政公用的年度资金使用计划，按规定管理使用市政公用设施专项资金和市政公用的城市维护费，并负责资金的日常管理、使用和内部审计；负责市政公用行业的统计工作。</w:t>
      </w:r>
    </w:p>
    <w:p>
      <w:pPr>
        <w:pStyle w:val="7"/>
        <w:numPr>
          <w:ilvl w:val="0"/>
          <w:numId w:val="1"/>
        </w:numPr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负责市政公用信息化指挥调度系统的建设与管理；负责受理和处理市政公用方面的投诉举报、咨询求助、险情信息等；负责市政公用行业安全生产监督管理、突发事件应急处置以及依法组织或参与有关事故的调查处理。</w:t>
      </w:r>
    </w:p>
    <w:p>
      <w:pPr>
        <w:pStyle w:val="7"/>
        <w:numPr>
          <w:ilvl w:val="0"/>
          <w:numId w:val="1"/>
        </w:numPr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承办市政府交办的其他事项。</w:t>
      </w:r>
    </w:p>
    <w:p>
      <w:pPr>
        <w:pStyle w:val="7"/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内设机构设置：</w:t>
      </w:r>
      <w:r>
        <w:rPr>
          <w:rFonts w:hint="eastAsia" w:ascii="仿宋_GB2312" w:hAnsi="宋体" w:eastAsia="仿宋_GB2312"/>
          <w:sz w:val="32"/>
          <w:szCs w:val="32"/>
        </w:rPr>
        <w:t>本单位内设机构包括：本单位为县财政全额拨款事业单位，内设股室4个：办公室，财务室，监察组，路灯组。在编人员3人，退休1人。</w:t>
      </w:r>
    </w:p>
    <w:p>
      <w:pPr>
        <w:pStyle w:val="7"/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  2020年度财政收支总计44.3万元；年末固定资产总计72.5万，无闲置资产，年度增加0.178万元、减少的固定资产56.2万元（无偿划拨给市政工程公司），年末资产原价72.5万元；累计折旧39.6万；资产净值32.9万元；认真贯彻执行《事业单位会计制度》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建立健全</w:t>
      </w:r>
      <w:r>
        <w:rPr>
          <w:rFonts w:hint="eastAsia" w:ascii="仿宋_GB2312" w:hAnsi="宋体" w:eastAsia="仿宋_GB2312"/>
          <w:sz w:val="32"/>
          <w:szCs w:val="32"/>
        </w:rPr>
        <w:t>的财务管理制度，做好会计核算、财务管理、会计监督，负责各项收支的计划、控制、核算、预算、决算、分析和考核工作，收集整理相关财务资料并存档。</w:t>
      </w:r>
    </w:p>
    <w:p>
      <w:pPr>
        <w:spacing w:line="520" w:lineRule="exact"/>
        <w:ind w:firstLine="614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二、部门（单位）整体支出绩效状况</w:t>
      </w:r>
    </w:p>
    <w:p>
      <w:pPr>
        <w:spacing w:line="520" w:lineRule="exact"/>
        <w:ind w:firstLine="614" w:firstLineChars="19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分析年度财政支出所取得的实际绩效（2022年提供的公共产品和服务及取得的实际效益）。  </w:t>
      </w:r>
    </w:p>
    <w:p>
      <w:pPr>
        <w:pStyle w:val="2"/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市政设施完好是城市良好运行的有力推手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按照市住建局的工作指示，进一步加大日常巡查力度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实现常态化管理和精细化维护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保城区市政设施完好。要求市政巡查人员严格按照一天一次巡查的要求，认真做好住建局辖区内主次干道市政设施的巡查与监督工作。同时在利用现有人员、车辆进行巡查的基础上，充分利用县长热线、县长信箱、投诉电话、上门来访等多种形式，随时接受居民来电咨询和投诉，对反映的井盖缺失护栏破损等问题进行安排处置，方便居民日常出行。累计发现违法破道32余起，下达整改通知书22次，办理破道手续28起，发现人为破坏公用设施26起，处理派出所报案4起，收取道路挖掘费约11.6万元、公共空间广告资源有偿使用收入5.4万元，发现各种下水道堵塞、井盖板缺失等解除险情86余处，发现交通护栏倒地、凌乱不堪、被车辆碰撞60余起，协助交警队处理交通事故20余起，处理县长热线投诉反映情况20余起，有效减少了市政设施人为破坏等现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确保市政设施的完好。</w:t>
      </w:r>
    </w:p>
    <w:p>
      <w:pPr>
        <w:spacing w:line="520" w:lineRule="exact"/>
        <w:ind w:firstLine="614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三、存在的问题及原因</w:t>
      </w:r>
    </w:p>
    <w:p>
      <w:pPr>
        <w:spacing w:line="520" w:lineRule="exact"/>
        <w:ind w:firstLine="614" w:firstLineChars="19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分析当前影响本部门（单位）财政资金使用绩效的问题及原因。</w:t>
      </w:r>
    </w:p>
    <w:p>
      <w:pPr>
        <w:pStyle w:val="2"/>
      </w:pPr>
      <w:r>
        <w:rPr>
          <w:rFonts w:hint="eastAsia" w:ascii="仿宋_GB2312" w:hAnsi="宋体" w:eastAsia="仿宋_GB2312"/>
          <w:sz w:val="32"/>
          <w:szCs w:val="32"/>
        </w:rPr>
        <w:t>市政设施维护区域增加，巡察及维护人员业务水平参差不齐</w:t>
      </w:r>
    </w:p>
    <w:p>
      <w:pPr>
        <w:spacing w:line="520" w:lineRule="exact"/>
        <w:ind w:firstLine="614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四、提高财政资金绩效的措施与建议</w:t>
      </w:r>
    </w:p>
    <w:p>
      <w:pPr>
        <w:spacing w:line="520" w:lineRule="exact"/>
        <w:ind w:firstLine="614" w:firstLineChars="19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针对存在的问题及有关情况，提出下一步提高本部门</w:t>
      </w:r>
      <w:r>
        <w:rPr>
          <w:rFonts w:hint="eastAsia" w:ascii="仿宋_GB2312" w:hAnsi="仿宋" w:eastAsia="仿宋_GB2312"/>
          <w:bCs/>
          <w:sz w:val="32"/>
          <w:szCs w:val="32"/>
        </w:rPr>
        <w:t>（单位）</w:t>
      </w:r>
      <w:r>
        <w:rPr>
          <w:rFonts w:hint="eastAsia" w:ascii="仿宋_GB2312" w:hAnsi="仿宋" w:eastAsia="仿宋_GB2312"/>
          <w:sz w:val="32"/>
          <w:szCs w:val="32"/>
        </w:rPr>
        <w:t>财政资金使用绩效的措施与建议。</w:t>
      </w:r>
    </w:p>
    <w:p>
      <w:pPr>
        <w:pStyle w:val="2"/>
        <w:rPr>
          <w:rFonts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进一步加强经费预算。细化做实绩效目标预算申报，全力做到经费预算与实际执行数相符；定期组织业务培训，提高巡察及维护人员素质水平和业务能力</w:t>
      </w:r>
    </w:p>
    <w:p>
      <w:pPr>
        <w:spacing w:line="520" w:lineRule="exact"/>
        <w:ind w:firstLine="614" w:firstLineChars="1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五、附件（佐证依据）</w:t>
      </w:r>
    </w:p>
    <w:p>
      <w:pPr>
        <w:spacing w:line="52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部门（单位）认为需要作为评价报告附件的有关文件、资料等，以进一步解释和证明报告所反映的相关内容。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088F8"/>
    <w:multiLevelType w:val="singleLevel"/>
    <w:tmpl w:val="5FD088F8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DFiYWUxNGFjMzRiNmZmMDhlMjllZmUxNmE2MWEifQ=="/>
  </w:docVars>
  <w:rsids>
    <w:rsidRoot w:val="54E91F3C"/>
    <w:rsid w:val="005F6647"/>
    <w:rsid w:val="00E11D1C"/>
    <w:rsid w:val="012C4AED"/>
    <w:rsid w:val="12DF3A8E"/>
    <w:rsid w:val="32A84F8F"/>
    <w:rsid w:val="403D5E63"/>
    <w:rsid w:val="49E32798"/>
    <w:rsid w:val="4D4D31DF"/>
    <w:rsid w:val="54E91F3C"/>
    <w:rsid w:val="58B54896"/>
    <w:rsid w:val="598E6115"/>
    <w:rsid w:val="5CEE405E"/>
    <w:rsid w:val="5DD8716C"/>
    <w:rsid w:val="5ED178E0"/>
    <w:rsid w:val="7C3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2035</Characters>
  <Lines>16</Lines>
  <Paragraphs>4</Paragraphs>
  <TotalTime>9</TotalTime>
  <ScaleCrop>false</ScaleCrop>
  <LinksUpToDate>false</LinksUpToDate>
  <CharactersWithSpaces>2387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2023-08-21T06:17:00Z</dcterms:created>
  <dc:creator>Administrator</dc:creator>
  <cp:lastModifiedBy>Administrator</cp:lastModifiedBy>
  <dcterms:modified xsi:type="dcterms:W3CDTF">2023-12-21T08:47:53Z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FB5A5FEC9F2A46CD95E5FEB4A4CE33D8_13</vt:lpwstr>
  </property>
</Properties>
</file>