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水东江镇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2020年部门整体支出绩效评价报告</w:t>
      </w:r>
    </w:p>
    <w:p>
      <w:pPr>
        <w:numPr>
          <w:ilvl w:val="0"/>
          <w:numId w:val="1"/>
        </w:numPr>
        <w:spacing w:line="52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部门（单位）基本概况</w:t>
      </w:r>
    </w:p>
    <w:p>
      <w:pPr>
        <w:numPr>
          <w:ilvl w:val="0"/>
          <w:numId w:val="0"/>
        </w:numPr>
        <w:spacing w:line="52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1、部门职责：</w:t>
      </w:r>
    </w:p>
    <w:p>
      <w:pPr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(1)执行本级人民代表大会决议和上级国家行政机关的决定和命令，发布决定和命令;落实国家政策，严格依法行政。</w:t>
      </w:r>
    </w:p>
    <w:p>
      <w:pPr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(2)执行本乡镇区域内的经济和社会发展计划、预算，管理本镇区域内的经济、教育、科学、文化、体育事业和财政、民政、公安、司法行政、计划生育等行政工作；发展乡村经济、文化和社会事业，提供公共服务。制定和组织实施经济、科技和社会发展计划，制定资源开发技术改造和产业结构调整方案，组织指导好各业生产，搞好商品流通，协调好本镇与外地区的经济交流与合作，抓好招商引资，人才引进项目开发，不断培育市场体系，组织经济运行，促进经济发展。</w:t>
      </w:r>
    </w:p>
    <w:p>
      <w:pPr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(3)保护社会主义全民所有制的财产和劳动群众集体所有制的财产，保护公民私人所有的合法财产，保护各种经济组织的合法权益，取缔非法经济活动，调解和处理民事纠纷，打击刑事犯罪维护社会稳定，保障公民的人身权利、民主权利和其他权利。</w:t>
      </w:r>
    </w:p>
    <w:p>
      <w:pPr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(4)制定并组织实施村镇建设规划，部署重点工程建设，地方道路建设及公共设施，水利设施的管理，负责土地、林木、水等自然资源和生态环境的保护，做好护林防火工作。</w:t>
      </w:r>
    </w:p>
    <w:p>
      <w:pPr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(5)按计划组织本级财政收入和地方税的征收，完成国家财政计划，不断培植税源，管好财政资金，增强财政实力。</w:t>
      </w:r>
    </w:p>
    <w:p>
      <w:pPr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(6)保障宪法和法律赋予妇女的男女平等、同工同酬和婚姻自由等各项权利，保障少数民族的合法权利和尊重少数民族的风俗习惯。</w:t>
      </w:r>
    </w:p>
    <w:p>
      <w:pPr>
        <w:ind w:firstLine="640" w:firstLineChars="200"/>
        <w:jc w:val="left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(7)抓好精神文明建设，丰富群众文化生活，提倡移风易俗，反对封建迷信，破除陈规陋习，树立社会主义新风尚。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jc w:val="left"/>
        <w:rPr>
          <w:rFonts w:ascii="仿宋_GB2312" w:hAnsi="宋体" w:eastAsia="仿宋_GB2312"/>
          <w:sz w:val="28"/>
          <w:szCs w:val="32"/>
        </w:rPr>
      </w:pPr>
      <w:r>
        <w:rPr>
          <w:rFonts w:hint="eastAsia" w:ascii="宋体" w:hAnsi="宋体"/>
          <w:sz w:val="32"/>
          <w:szCs w:val="32"/>
        </w:rPr>
        <w:t>(8)承办</w:t>
      </w:r>
      <w:r>
        <w:rPr>
          <w:rFonts w:hint="eastAsia" w:ascii="宋体" w:hAnsi="宋体"/>
          <w:sz w:val="32"/>
          <w:szCs w:val="32"/>
          <w:lang w:eastAsia="zh-CN"/>
        </w:rPr>
        <w:t>市</w:t>
      </w:r>
      <w:r>
        <w:rPr>
          <w:rFonts w:hint="eastAsia" w:ascii="宋体" w:hAnsi="宋体"/>
          <w:sz w:val="32"/>
          <w:szCs w:val="32"/>
        </w:rPr>
        <w:t>委、</w:t>
      </w:r>
      <w:r>
        <w:rPr>
          <w:rFonts w:hint="eastAsia" w:ascii="宋体" w:hAnsi="宋体"/>
          <w:sz w:val="32"/>
          <w:szCs w:val="32"/>
          <w:lang w:eastAsia="zh-CN"/>
        </w:rPr>
        <w:t>市</w:t>
      </w:r>
      <w:r>
        <w:rPr>
          <w:rFonts w:hint="eastAsia" w:ascii="宋体" w:hAnsi="宋体"/>
          <w:sz w:val="32"/>
          <w:szCs w:val="32"/>
        </w:rPr>
        <w:t>人民政府交办的其他事项。</w:t>
      </w:r>
    </w:p>
    <w:p>
      <w:pPr>
        <w:widowControl/>
        <w:spacing w:line="600" w:lineRule="exact"/>
        <w:rPr>
          <w:rFonts w:hint="eastAsia" w:ascii="黑体" w:hAnsi="黑体" w:eastAsia="黑体"/>
          <w:b/>
          <w:bCs w:val="0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、机构设置及</w:t>
      </w:r>
      <w:r>
        <w:rPr>
          <w:rFonts w:hint="eastAsia" w:ascii="宋体" w:hAnsi="宋体"/>
          <w:sz w:val="32"/>
          <w:szCs w:val="32"/>
          <w:lang w:eastAsia="zh-CN"/>
        </w:rPr>
        <w:t>人员概况：</w:t>
      </w:r>
    </w:p>
    <w:p>
      <w:pPr>
        <w:widowControl/>
        <w:spacing w:line="600" w:lineRule="exact"/>
        <w:rPr>
          <w:rFonts w:hint="eastAsia" w:ascii="宋体" w:eastAsia="宋体"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Cs/>
          <w:kern w:val="0"/>
          <w:sz w:val="32"/>
          <w:szCs w:val="32"/>
        </w:rPr>
        <w:t>（一）内设机构设置。本单位内设机构包括：</w:t>
      </w:r>
      <w:r>
        <w:rPr>
          <w:rFonts w:hint="eastAsia" w:ascii="宋体" w:hAnsi="宋体"/>
          <w:bCs/>
          <w:kern w:val="0"/>
          <w:sz w:val="32"/>
          <w:szCs w:val="32"/>
          <w:lang w:eastAsia="zh-CN"/>
        </w:rPr>
        <w:t>水东江镇政府、水东江镇财政所、水东江镇综合行政执法大队、水东江镇农业综合服务中心、水东江镇政务（便民）服务中心、水东江镇社会事务综合服务中心、水东江镇退役军人服务站。</w:t>
      </w:r>
    </w:p>
    <w:p>
      <w:pPr>
        <w:widowControl/>
        <w:spacing w:line="600" w:lineRule="exac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/>
          <w:bCs/>
          <w:kern w:val="0"/>
          <w:sz w:val="32"/>
          <w:szCs w:val="32"/>
        </w:rPr>
        <w:t>（二）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>镇机关行政定编3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>人，事业站所定编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>2人。全镇现有干部职工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>人，其中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行政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>人，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事业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>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，临时人员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2人。</w:t>
      </w:r>
    </w:p>
    <w:p>
      <w:pPr>
        <w:widowControl/>
        <w:spacing w:line="600" w:lineRule="exact"/>
        <w:rPr>
          <w:rFonts w:hint="default" w:eastAsia="宋体" w:asciiTheme="minorEastAsia" w:hAnsi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3、2020年财政收支情况和固定资产状况：</w:t>
      </w:r>
      <w:r>
        <w:rPr>
          <w:rFonts w:hint="eastAsia" w:ascii="宋体" w:hAnsi="宋体" w:eastAsia="宋体"/>
          <w:sz w:val="32"/>
          <w:szCs w:val="32"/>
        </w:rPr>
        <w:t>2020年度收、支总计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2757.17</w:t>
      </w:r>
      <w:r>
        <w:rPr>
          <w:rFonts w:hint="eastAsia" w:ascii="宋体" w:hAnsi="宋体" w:eastAsia="宋体"/>
          <w:sz w:val="32"/>
          <w:szCs w:val="32"/>
        </w:rPr>
        <w:t>万元。与上年相比，增加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241.14</w:t>
      </w:r>
      <w:r>
        <w:rPr>
          <w:rFonts w:hint="eastAsia" w:ascii="宋体" w:hAnsi="宋体" w:eastAsia="宋体"/>
          <w:sz w:val="32"/>
          <w:szCs w:val="32"/>
        </w:rPr>
        <w:t>万元，增长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9.6</w:t>
      </w:r>
      <w:r>
        <w:rPr>
          <w:rFonts w:hint="eastAsia" w:ascii="宋体" w:hAnsi="宋体" w:eastAsia="宋体"/>
          <w:sz w:val="32"/>
          <w:szCs w:val="32"/>
        </w:rPr>
        <w:t>%</w:t>
      </w:r>
      <w:r>
        <w:rPr>
          <w:rFonts w:hint="eastAsia" w:ascii="宋体" w:hAnsi="宋体"/>
          <w:sz w:val="32"/>
          <w:szCs w:val="32"/>
          <w:lang w:eastAsia="zh-CN"/>
        </w:rPr>
        <w:t>；总共有</w:t>
      </w:r>
      <w:r>
        <w:rPr>
          <w:rFonts w:hint="eastAsia" w:ascii="宋体" w:hAnsi="宋体"/>
          <w:sz w:val="32"/>
          <w:szCs w:val="32"/>
          <w:lang w:val="en-US" w:eastAsia="zh-CN"/>
        </w:rPr>
        <w:t>983万的固定资产。</w:t>
      </w:r>
    </w:p>
    <w:p>
      <w:pPr>
        <w:widowControl/>
        <w:numPr>
          <w:ilvl w:val="0"/>
          <w:numId w:val="2"/>
        </w:numPr>
        <w:spacing w:line="600" w:lineRule="exac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财政财务管理制度及执行情况：严格执行财务会审制度，所有的票据均需通过会审才能够报销， 每月最后一周的星期二（特殊情况顺延）为财务支出会审日，财政所应于一周内对经财务会审的票据予以报销。</w:t>
      </w:r>
    </w:p>
    <w:p>
      <w:pPr>
        <w:numPr>
          <w:ilvl w:val="0"/>
          <w:numId w:val="1"/>
        </w:numPr>
        <w:spacing w:line="52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部门（单位）整体支出绩效状况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年，根据年初预算的重点工作，我镇通过对财政资金的使用，取得了如下绩效：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经费控制良好，严格执行年初预算，压减开支，控制率达到100%。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2、按预算执行本镇的各项开支，预算完成率和控制率均达到100%，收支平衡。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3、政府采购执行与控制率达到100%。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4、各项制度管理健全，资金使用合规。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5、重点工作和业务工作完成率100%。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6、取得良好的经济效益和社会效益。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7、提高行政效能，提升社会公众服务对象的满意度。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8、预决算信息公开率100%。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420"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、农村基础设施建设及民生工程持续改善。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420"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、政府自身建设不断加强。镇政府自觉接受镇人大和群众监督，继续推行政务公开，严格执行“八项规定”和“六项禁令”，坚决反对“四风”实现“一站式”服务；拓展村级服务站，简化办事程序，政府效能和执行力稳步提高。</w:t>
      </w:r>
    </w:p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spacing w:line="52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存在的问题及原因</w:t>
      </w:r>
    </w:p>
    <w:p>
      <w:pPr>
        <w:spacing w:line="600" w:lineRule="exact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bookmarkStart w:id="0" w:name="_Toc25938893"/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（一）绩效理念有待加强</w:t>
      </w:r>
      <w:bookmarkEnd w:id="0"/>
    </w:p>
    <w:p>
      <w:pPr>
        <w:spacing w:line="600" w:lineRule="exact"/>
        <w:ind w:firstLine="64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</w:rPr>
        <w:t>因业务水平有限，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我镇在填制2019年部门整体支出绩效目标申报表时，指标设立不够细化量化，且未设置经济效益、社会效益、生态效益等项目效益指标，预算绩效目标申报及自评工作亟待完善。</w:t>
      </w:r>
    </w:p>
    <w:p>
      <w:pPr>
        <w:spacing w:line="60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（二）</w:t>
      </w:r>
      <w:bookmarkStart w:id="1" w:name="_Toc25938895"/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决算编制欠准确</w:t>
      </w:r>
      <w:bookmarkEnd w:id="1"/>
    </w:p>
    <w:p>
      <w:pPr>
        <w:pStyle w:val="4"/>
        <w:spacing w:before="0" w:after="0" w:line="600" w:lineRule="exact"/>
        <w:ind w:firstLine="72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</w:rPr>
        <w:t>因业务水平有限，决算编制支出类别上理解不够，比如基本支出和项目支出，在日常业务操作时容易出错。 随着对预、决算编制工作水平要求越来越高，数据编制要求越来越精准、规范；时间紧、任务大；加之现行决算工作与实际账务处理工作间衔接还存在一定差异；会计人员业务明显增加，加之业务操作水平有限，实际操作中确实感到力不从心。</w:t>
      </w:r>
    </w:p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四、提高财政资金绩效的措施与建议</w:t>
      </w:r>
    </w:p>
    <w:p>
      <w:pPr>
        <w:spacing w:line="600" w:lineRule="exact"/>
        <w:ind w:right="0"/>
        <w:outlineLvl w:val="1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bookmarkStart w:id="2" w:name="_Toc25938897"/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（一）加强预算绩效评价基础工作</w:t>
      </w:r>
      <w:bookmarkEnd w:id="2"/>
    </w:p>
    <w:p>
      <w:pPr>
        <w:spacing w:line="600" w:lineRule="exact"/>
        <w:ind w:firstLine="64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强化项目绩效自评组</w:t>
      </w:r>
      <w:bookmarkStart w:id="5" w:name="_GoBack"/>
      <w:bookmarkEnd w:id="5"/>
      <w:r>
        <w:rPr>
          <w:rFonts w:hint="eastAsia" w:asciiTheme="minorEastAsia" w:hAnsiTheme="minorEastAsia" w:eastAsiaTheme="minorEastAsia" w:cstheme="minorEastAsia"/>
          <w:sz w:val="32"/>
          <w:szCs w:val="32"/>
        </w:rPr>
        <w:t>织工作，年初申报预算时将绩效目标编入年度预算，填报项目申报表，且绩效目标指向明确、具体细化、合理可行。</w:t>
      </w:r>
    </w:p>
    <w:p>
      <w:pPr>
        <w:spacing w:line="600" w:lineRule="exact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bookmarkStart w:id="3" w:name="_Toc25938898"/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（二）推进财务管理</w:t>
      </w:r>
      <w:bookmarkEnd w:id="3"/>
    </w:p>
    <w:p>
      <w:pPr>
        <w:spacing w:line="600" w:lineRule="exact"/>
        <w:ind w:firstLine="64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一是加强会计核算，不断提升单位财务管理人员的专业能力和综合素质，提高财务管理效率，避免出现科目核算欠准确的情况；二是</w:t>
      </w: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</w:rPr>
        <w:t>健全单位财务管理制度体系，规范单位财务行为。在费用报账支付时，按照预算规定的费用项目和用途进行资金使用审核、财务严格核算，杜绝超支现象的发生。</w:t>
      </w:r>
    </w:p>
    <w:p>
      <w:pPr>
        <w:spacing w:line="600" w:lineRule="exact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bookmarkStart w:id="4" w:name="_Toc25938901"/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（三）加强决算编制工作</w:t>
      </w:r>
      <w:bookmarkEnd w:id="4"/>
    </w:p>
    <w:p>
      <w:pPr>
        <w:spacing w:line="600" w:lineRule="exact"/>
        <w:ind w:firstLine="64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严格按照本年度具体资金使用情况，对预算执行进行总结，正确编制决算支出，确保决算数字真实真确，严禁估算，避免出现存在结转和结余而未能体现的情况。</w:t>
      </w:r>
    </w:p>
    <w:p>
      <w:pPr>
        <w:spacing w:line="520" w:lineRule="exact"/>
        <w:ind w:firstLine="614" w:firstLineChars="192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420"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widowControl/>
        <w:numPr>
          <w:ilvl w:val="0"/>
          <w:numId w:val="0"/>
        </w:numPr>
        <w:spacing w:line="600" w:lineRule="exact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/>
        <w:spacing w:line="600" w:lineRule="exact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64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64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C5CD4C"/>
    <w:multiLevelType w:val="singleLevel"/>
    <w:tmpl w:val="A9C5CD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C737DF"/>
    <w:multiLevelType w:val="singleLevel"/>
    <w:tmpl w:val="D6C737DF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F001782D"/>
    <w:multiLevelType w:val="singleLevel"/>
    <w:tmpl w:val="F00178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26C3D"/>
    <w:rsid w:val="083C109E"/>
    <w:rsid w:val="0D501583"/>
    <w:rsid w:val="282C2C91"/>
    <w:rsid w:val="2A926C3D"/>
    <w:rsid w:val="2F2D1829"/>
    <w:rsid w:val="51380C70"/>
    <w:rsid w:val="57711539"/>
    <w:rsid w:val="5D12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2021-09-22T03:11:00Z</dcterms:created>
  <dc:creator>Administrator</dc:creator>
  <cp:lastModifiedBy>Administrator</cp:lastModifiedBy>
  <dcterms:modified xsi:type="dcterms:W3CDTF">2021-09-22T08:20:37Z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