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>
      <w:pPr>
        <w:pStyle w:val="a5"/>
        <w:spacing w:beforeAutospacing="0" w:afterAutospacing="0" w:line="700" w:lineRule="exact"/>
        <w:jc w:val="center"/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邵东市优化营商环境促进市场主体</w:t>
      </w:r>
    </w:p>
    <w:p w:rsidR="00000000" w:rsidRDefault="00000000">
      <w:pPr>
        <w:pStyle w:val="a5"/>
        <w:spacing w:beforeAutospacing="0" w:afterAutospacing="0" w:line="700" w:lineRule="exact"/>
        <w:jc w:val="center"/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高质量发展实施方案（2022—2025年）</w:t>
      </w:r>
    </w:p>
    <w:p w:rsidR="00000000" w:rsidRDefault="00000000">
      <w:pPr>
        <w:pStyle w:val="a5"/>
        <w:spacing w:beforeAutospacing="0" w:afterAutospacing="0" w:line="700" w:lineRule="exact"/>
        <w:jc w:val="center"/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（征求意见稿）</w:t>
      </w:r>
    </w:p>
    <w:p w:rsidR="00000000" w:rsidRDefault="00000000">
      <w:pPr>
        <w:pStyle w:val="a5"/>
        <w:spacing w:beforeAutospacing="0" w:afterAutospacing="0" w:line="560" w:lineRule="exact"/>
        <w:ind w:firstLineChars="200" w:firstLine="643"/>
        <w:jc w:val="both"/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</w:pPr>
    </w:p>
    <w:p w:rsidR="00000000" w:rsidRDefault="00000000">
      <w:pPr>
        <w:spacing w:line="560" w:lineRule="exact"/>
        <w:ind w:firstLineChars="200" w:firstLine="640"/>
        <w:rPr>
          <w:rStyle w:val="a6"/>
          <w:rFonts w:ascii="仿宋_GB2312" w:eastAsia="仿宋_GB2312" w:hAnsi="仿宋_GB2312" w:cs="仿宋_GB2312" w:hint="eastAsia"/>
          <w:b w:val="0"/>
          <w:color w:val="000000"/>
          <w:kern w:val="0"/>
          <w:sz w:val="32"/>
          <w:szCs w:val="32"/>
          <w:lang w:bidi="ar"/>
        </w:rPr>
      </w:pPr>
      <w:r>
        <w:rPr>
          <w:rStyle w:val="a6"/>
          <w:rFonts w:ascii="仿宋_GB2312" w:eastAsia="仿宋_GB2312" w:hAnsi="仿宋_GB2312" w:cs="仿宋_GB2312" w:hint="eastAsia"/>
          <w:b w:val="0"/>
          <w:color w:val="000000"/>
          <w:kern w:val="0"/>
          <w:sz w:val="32"/>
          <w:szCs w:val="32"/>
          <w:lang w:bidi="ar"/>
        </w:rPr>
        <w:t>为全面落实“三高四新”战略定位和使命任务，持续深化“放管服”改革，优化营商环境，促进市场主体高质量发展，按照《湖南省人民政府关于优化营商环境促进市场主体高质量发展的意见》（湘政发〔2022〕2号）和《邵阳市人民政府关于印发〈邵阳市优化营商环境促进市场主体高质量发展实施方案（2022-2025年）〉的通知》（邵市政发〔2022〕3号）要求，结合我市实际，制定本方案。</w:t>
      </w:r>
    </w:p>
    <w:p w:rsidR="00000000" w:rsidRDefault="00000000">
      <w:pPr>
        <w:pStyle w:val="a5"/>
        <w:spacing w:beforeAutospacing="0" w:afterAutospacing="0" w:line="560" w:lineRule="exact"/>
        <w:ind w:firstLineChars="200" w:firstLine="640"/>
        <w:jc w:val="both"/>
        <w:rPr>
          <w:rStyle w:val="a6"/>
          <w:rFonts w:ascii="黑体" w:eastAsia="黑体" w:hAnsi="黑体" w:cs="黑体" w:hint="eastAsia"/>
          <w:b w:val="0"/>
          <w:color w:val="000000"/>
          <w:sz w:val="32"/>
          <w:szCs w:val="32"/>
        </w:rPr>
      </w:pPr>
      <w:r>
        <w:rPr>
          <w:rStyle w:val="a6"/>
          <w:rFonts w:ascii="黑体" w:eastAsia="黑体" w:hAnsi="黑体" w:cs="黑体" w:hint="eastAsia"/>
          <w:b w:val="0"/>
          <w:color w:val="000000"/>
          <w:sz w:val="32"/>
          <w:szCs w:val="32"/>
        </w:rPr>
        <w:t>一、指导思想</w:t>
      </w:r>
    </w:p>
    <w:p w:rsidR="00000000" w:rsidRDefault="00000000">
      <w:pPr>
        <w:pStyle w:val="a5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Style w:val="a6"/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以习近平新时代中国特色社会主义思想为指导，全面贯彻党的十九大和十九届历次全会精神，深入落实习近平总书记对湖南重要讲话重要指示批示精神，按照省、邵阳市第十二次党代会部署要求，精准实施宏观政策，深化商事制度改革，盯紧“三个高地”建设，大力优化营商环境，实施优质企业梯度培育行动和市场主体倍增工程，加快建设高标准市场体系，以市场主体的高质量发展助推现代化新邵东建设。</w:t>
      </w:r>
    </w:p>
    <w:p w:rsidR="00000000" w:rsidRDefault="00000000">
      <w:pPr>
        <w:pStyle w:val="a5"/>
        <w:spacing w:beforeAutospacing="0" w:afterAutospacing="0" w:line="560" w:lineRule="exact"/>
        <w:ind w:firstLineChars="200" w:firstLine="640"/>
        <w:jc w:val="both"/>
        <w:rPr>
          <w:rStyle w:val="a6"/>
          <w:rFonts w:ascii="黑体" w:eastAsia="黑体" w:hAnsi="黑体" w:cs="黑体" w:hint="eastAsia"/>
          <w:b w:val="0"/>
          <w:color w:val="000000"/>
          <w:sz w:val="32"/>
          <w:szCs w:val="32"/>
        </w:rPr>
      </w:pPr>
      <w:r>
        <w:rPr>
          <w:rStyle w:val="a6"/>
          <w:rFonts w:ascii="黑体" w:eastAsia="黑体" w:hAnsi="黑体" w:cs="黑体" w:hint="eastAsia"/>
          <w:b w:val="0"/>
          <w:color w:val="000000"/>
          <w:sz w:val="32"/>
          <w:szCs w:val="32"/>
        </w:rPr>
        <w:t>二、发展目标</w:t>
      </w:r>
    </w:p>
    <w:p w:rsidR="00000000" w:rsidRDefault="00000000">
      <w:pPr>
        <w:pStyle w:val="a5"/>
        <w:spacing w:beforeAutospacing="0" w:afterAutospacing="0" w:line="560" w:lineRule="exact"/>
        <w:ind w:firstLineChars="200" w:firstLine="643"/>
        <w:jc w:val="both"/>
        <w:rPr>
          <w:rStyle w:val="a6"/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Style w:val="a6"/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lastRenderedPageBreak/>
        <w:t>——市场主体总量显著增长。</w:t>
      </w:r>
      <w:r>
        <w:rPr>
          <w:rStyle w:val="a6"/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市场主体生命力、活跃度不断提升，总量持续增长。到2025年末，全市市场主体力争达到13.68万户。其中，企业3.83万户、个体工商户和农民专业合作社9.85万户。</w:t>
      </w:r>
    </w:p>
    <w:p w:rsidR="00000000" w:rsidRDefault="00000000">
      <w:pPr>
        <w:pStyle w:val="a5"/>
        <w:spacing w:beforeAutospacing="0" w:afterAutospacing="0" w:line="560" w:lineRule="exact"/>
        <w:ind w:firstLineChars="200" w:firstLine="643"/>
        <w:jc w:val="both"/>
        <w:rPr>
          <w:rStyle w:val="a6"/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Style w:val="a6"/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——市场主体结构不断优化。</w:t>
      </w:r>
      <w:r>
        <w:rPr>
          <w:rStyle w:val="a6"/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市场主体多元发展，三次产业布局更加合理，“三个高地”支撑更加有力。到2025年末，全市规模以上农产品加工企业达到138户、规模以上建筑业企业达到30户、规模以上服务业企业达到127户、限额以上商贸流通企业达到700户、“四上”文化旅游企业达到38户，净增规模以上工业企业达到100户、高新技术企业达到200户、外商投资企业达到15户、外贸实绩企业达到450户。</w:t>
      </w:r>
    </w:p>
    <w:p w:rsidR="00000000" w:rsidRDefault="00000000">
      <w:pPr>
        <w:pStyle w:val="a5"/>
        <w:spacing w:beforeAutospacing="0" w:afterAutospacing="0" w:line="560" w:lineRule="exact"/>
        <w:ind w:firstLineChars="200" w:firstLine="643"/>
        <w:jc w:val="both"/>
        <w:rPr>
          <w:rStyle w:val="a6"/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Style w:val="a6"/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——市场主体质量稳步提升。</w:t>
      </w:r>
      <w:r>
        <w:rPr>
          <w:rStyle w:val="a6"/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加快“个转企、小升规、规改股、股上市”提档升级，市场主体综合实力、创新能力、经济效益不断提升，实现绿色化、高质量增长。到2025年末，引进三类500强企业8户，上市公司突破1家，国家级、省级“小巨人”企业分别突破5户、35户，国家级制造业单项冠军企业（产品）达到1个，评价入库科技型中小企业突破150户。</w:t>
      </w:r>
    </w:p>
    <w:p w:rsidR="00000000" w:rsidRDefault="00000000">
      <w:pPr>
        <w:pStyle w:val="a5"/>
        <w:spacing w:beforeAutospacing="0" w:afterAutospacing="0" w:line="560" w:lineRule="exact"/>
        <w:ind w:firstLineChars="200" w:firstLine="643"/>
        <w:jc w:val="both"/>
        <w:rPr>
          <w:rStyle w:val="a6"/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Style w:val="a6"/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——市场主体生态持续改善。</w:t>
      </w:r>
      <w:r>
        <w:rPr>
          <w:rStyle w:val="a6"/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营商环境全面优化，土地、资本、数据等要素市场化配置改革不断深化，产业配套能力持续提升，经营成本有效降低，行政服务水平和市场治理效能不断提升，企业办事更加便捷，发展生态更趋良好。</w:t>
      </w:r>
    </w:p>
    <w:p w:rsidR="00000000" w:rsidRDefault="00000000">
      <w:pPr>
        <w:pStyle w:val="a5"/>
        <w:spacing w:beforeAutospacing="0" w:afterAutospacing="0" w:line="560" w:lineRule="exact"/>
        <w:ind w:firstLineChars="200" w:firstLine="640"/>
        <w:jc w:val="both"/>
        <w:rPr>
          <w:rStyle w:val="a6"/>
          <w:rFonts w:ascii="黑体" w:eastAsia="黑体" w:hAnsi="黑体" w:cs="黑体" w:hint="eastAsia"/>
          <w:b w:val="0"/>
          <w:color w:val="000000"/>
          <w:sz w:val="32"/>
          <w:szCs w:val="32"/>
        </w:rPr>
      </w:pPr>
      <w:r>
        <w:rPr>
          <w:rStyle w:val="a6"/>
          <w:rFonts w:ascii="黑体" w:eastAsia="黑体" w:hAnsi="黑体" w:cs="黑体" w:hint="eastAsia"/>
          <w:b w:val="0"/>
          <w:color w:val="000000"/>
          <w:sz w:val="32"/>
          <w:szCs w:val="32"/>
        </w:rPr>
        <w:lastRenderedPageBreak/>
        <w:t>三、重点任务</w:t>
      </w:r>
    </w:p>
    <w:p w:rsidR="00000000" w:rsidRDefault="00000000">
      <w:pPr>
        <w:pStyle w:val="a5"/>
        <w:spacing w:beforeAutospacing="0" w:afterAutospacing="0" w:line="560" w:lineRule="exact"/>
        <w:ind w:firstLineChars="200" w:firstLine="643"/>
        <w:jc w:val="both"/>
        <w:rPr>
          <w:rStyle w:val="a6"/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Style w:val="a6"/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（一）实施重点企业培育行动。</w:t>
      </w:r>
      <w:r>
        <w:rPr>
          <w:rStyle w:val="a6"/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建立产业发展目录和投资指南，聚焦先进制造业、创新创造、外资外贸、农业农村、文化旅游等重点领域，突出培育企业主体。建立“科企——高企——小巨人——上市领军型”企业梯度培育体系，加强“大院大所大企”合作，实施产业领军企业“头雁领航”工程。加强与东盟、非洲等地的深度合作，加大力度推动中非产业园、东盟科技产业园建设，率先打造湖南自贸区联动发展区，推动形成对接非洲和东盟经贸合作长效机制。深入推进“六大强农”行动，实施“百企千社万户”工程，支持农业产业化龙头企业、农民专业合作社参与乡村振兴项目，鼓励支持农业企业股改、上市。加强文化旅游资源保护与开发利用，推动旅游业提质升档，大力推进全域旅游、乡村旅游，着力培养文化旅游企业。（市科工局、市商务局、市农业农村局、市乡村振兴局、市文旅广体局等按职责分工负责）</w:t>
      </w:r>
    </w:p>
    <w:p w:rsidR="00000000" w:rsidRDefault="00000000">
      <w:pPr>
        <w:spacing w:line="560" w:lineRule="exact"/>
        <w:ind w:firstLineChars="200" w:firstLine="643"/>
        <w:rPr>
          <w:rStyle w:val="a6"/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Style w:val="a6"/>
          <w:rFonts w:ascii="楷体_GB2312" w:eastAsia="楷体_GB2312" w:hAnsi="楷体_GB2312" w:cs="楷体_GB2312" w:hint="eastAsia"/>
          <w:bCs/>
          <w:color w:val="000000"/>
          <w:kern w:val="0"/>
          <w:sz w:val="32"/>
          <w:szCs w:val="32"/>
          <w:lang w:bidi="ar"/>
        </w:rPr>
        <w:t>（二）实施中小企业和个体工商户培育行动。</w:t>
      </w:r>
      <w:r>
        <w:rPr>
          <w:rStyle w:val="a6"/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强化统筹协调机制作用，持续推动减税降费、减租降息、普惠金融等纾困惠企政策直达基层、直接惠及个体工商户和中小企业。落实个体工商户稳岗就业补贴，降低小微企业和个体工商户地租成本，引导平台企业降低不合理收费和抽成。运用普惠小微企业和个体工商户贷款支持工具，做好普惠小微企业信用贷款支持计划接续转换工作，推</w:t>
      </w:r>
      <w:r>
        <w:rPr>
          <w:rStyle w:val="a6"/>
          <w:rFonts w:ascii="仿宋_GB2312" w:eastAsia="仿宋_GB2312" w:hAnsi="仿宋_GB2312" w:cs="仿宋_GB2312" w:hint="eastAsia"/>
          <w:b w:val="0"/>
          <w:color w:val="000000"/>
          <w:spacing w:val="-6"/>
          <w:sz w:val="32"/>
          <w:szCs w:val="32"/>
        </w:rPr>
        <w:t>动个体工商户和中小企业扩面，不断提高其存</w:t>
      </w:r>
      <w:r>
        <w:rPr>
          <w:rStyle w:val="a6"/>
          <w:rFonts w:ascii="仿宋_GB2312" w:eastAsia="仿宋_GB2312" w:hAnsi="仿宋_GB2312" w:cs="仿宋_GB2312" w:hint="eastAsia"/>
          <w:b w:val="0"/>
          <w:color w:val="000000"/>
          <w:spacing w:val="-6"/>
          <w:sz w:val="32"/>
          <w:szCs w:val="32"/>
        </w:rPr>
        <w:lastRenderedPageBreak/>
        <w:t>活率、活跃度，稳住市场主体培育的基本盘。（市市监局牵头，市发改局、市财政局、市税务局、市人社局、市住建局等按职责分工负责）</w:t>
      </w:r>
    </w:p>
    <w:p w:rsidR="00000000" w:rsidRDefault="00000000">
      <w:pPr>
        <w:pStyle w:val="a5"/>
        <w:spacing w:beforeAutospacing="0" w:afterAutospacing="0" w:line="560" w:lineRule="exact"/>
        <w:ind w:firstLineChars="200" w:firstLine="643"/>
        <w:jc w:val="both"/>
        <w:rPr>
          <w:rStyle w:val="a6"/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Style w:val="a6"/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（三）实施“个转企”培育行动。</w:t>
      </w:r>
      <w:r>
        <w:rPr>
          <w:rStyle w:val="a6"/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建立“个转企”种子培育库，加大“个转企”支持力度，符合条件的“个转企”企业，转企三年内享受小微企业税费优惠政策。推动实现“个转企”登记程序一件事一次办，保持“个转企”登记档案延续性、一致性，支持个体工商户享有的专利权、商标权、名称权等权益保护转移至“个转企”企业名下。（市市监局牵头，市科工局、市人社局、市自然资源局、人民银行邵东支行、市税务局等按职责分工负责）</w:t>
      </w:r>
    </w:p>
    <w:p w:rsidR="00000000" w:rsidRDefault="00000000">
      <w:pPr>
        <w:pStyle w:val="a5"/>
        <w:spacing w:beforeAutospacing="0" w:afterAutospacing="0" w:line="560" w:lineRule="exact"/>
        <w:ind w:firstLineChars="200" w:firstLine="643"/>
        <w:jc w:val="both"/>
        <w:rPr>
          <w:rStyle w:val="a6"/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Style w:val="a6"/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（四）实施“四上”企业培育行动。</w:t>
      </w:r>
      <w:r>
        <w:rPr>
          <w:rStyle w:val="a6"/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开展“新增规模以上工业企业”行动，充分挖掘规上企业新增量，支持新增规上企业稳定在库。建立存量企业退库预警机制，加强临退企业经营情况监测分析，帮助企业纾困解难，切实减少退库数量。支持资质等级建筑业企业、限额以上批零住宿餐饮企业、限额以上服务业企业规模发展。（市发改局、市科工局、市财政局、市住建局、市商务局、市工商联等按职责分工负责）</w:t>
      </w:r>
    </w:p>
    <w:p w:rsidR="00000000" w:rsidRDefault="00000000">
      <w:pPr>
        <w:pStyle w:val="a5"/>
        <w:spacing w:beforeAutospacing="0" w:afterAutospacing="0" w:line="560" w:lineRule="exact"/>
        <w:ind w:firstLineChars="200" w:firstLine="643"/>
        <w:jc w:val="both"/>
        <w:rPr>
          <w:rStyle w:val="a6"/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Style w:val="a6"/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（五）实施企业上市培育行动。</w:t>
      </w:r>
      <w:r>
        <w:rPr>
          <w:rStyle w:val="a6"/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贯彻落实企业上市“金芙蓉跃升”计划，扩充上市后备资源，强化后备企业培育辅导，引导企业规范治理，做好风险防范，支持企业做强做优。拓宽上市渠道，着力推动科技创新型企业科创板上市，加快推动“三</w:t>
      </w:r>
      <w:r>
        <w:rPr>
          <w:rStyle w:val="a6"/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lastRenderedPageBreak/>
        <w:t>创四新”企业创业板上市，稳步推进创新型中小企业北交所上市，鼓励再融资和并购重组，积极招引优质上市公司和后备企业。（市金融办牵头，市人民法院、市人民检察院、市发改局、市科工局、市财政局、市商务局、市市监局、市税务局等按职责分工负责）</w:t>
      </w:r>
    </w:p>
    <w:p w:rsidR="00000000" w:rsidRDefault="00000000">
      <w:pPr>
        <w:pStyle w:val="a5"/>
        <w:spacing w:beforeAutospacing="0" w:afterAutospacing="0" w:line="560" w:lineRule="exact"/>
        <w:ind w:firstLineChars="200" w:firstLine="640"/>
        <w:jc w:val="both"/>
        <w:rPr>
          <w:rStyle w:val="a6"/>
          <w:rFonts w:ascii="黑体" w:eastAsia="黑体" w:hAnsi="黑体" w:cs="黑体" w:hint="eastAsia"/>
          <w:b w:val="0"/>
          <w:color w:val="000000"/>
          <w:sz w:val="32"/>
          <w:szCs w:val="32"/>
        </w:rPr>
      </w:pPr>
      <w:r>
        <w:rPr>
          <w:rStyle w:val="a6"/>
          <w:rFonts w:ascii="黑体" w:eastAsia="黑体" w:hAnsi="黑体" w:cs="黑体" w:hint="eastAsia"/>
          <w:b w:val="0"/>
          <w:color w:val="000000"/>
          <w:sz w:val="32"/>
          <w:szCs w:val="32"/>
        </w:rPr>
        <w:t>四、主要举措</w:t>
      </w:r>
    </w:p>
    <w:p w:rsidR="00000000" w:rsidRDefault="00000000">
      <w:pPr>
        <w:pStyle w:val="a5"/>
        <w:spacing w:beforeAutospacing="0" w:afterAutospacing="0" w:line="560" w:lineRule="exact"/>
        <w:ind w:firstLineChars="200" w:firstLine="643"/>
        <w:jc w:val="both"/>
        <w:rPr>
          <w:rStyle w:val="a6"/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Style w:val="a6"/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（一）加大财税支持力度。</w:t>
      </w:r>
      <w:r>
        <w:rPr>
          <w:rStyle w:val="a6"/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完善财政资金直达机制，强化日常监控，确保直达资金落实到位、规范使用。优化税费优惠政策适用程序，推行惠企政策“免申即享”。落实制造业增值税留抵退税、小规模纳税人减征免征等减税降费政策。加强非税收入退付管理，确保取消、停征、免征及降低征收标准的收费基金项目落实到位。支持招大引强，对世界500强、中国500强、民营500强、行业领军企业来邵新设立企业总部的，按“一事一议”方式对其在邵企业给予支持。（市财政局、市税务局牵头，市直和省、邵阳市驻邵有关单位按职责分工负责）</w:t>
      </w:r>
    </w:p>
    <w:p w:rsidR="00000000" w:rsidRDefault="00000000">
      <w:pPr>
        <w:pStyle w:val="a5"/>
        <w:spacing w:beforeAutospacing="0" w:afterAutospacing="0" w:line="560" w:lineRule="exact"/>
        <w:ind w:firstLineChars="200" w:firstLine="643"/>
        <w:jc w:val="both"/>
        <w:rPr>
          <w:rStyle w:val="a6"/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Style w:val="a6"/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（二）提高助企纾困实效</w:t>
      </w:r>
      <w:r>
        <w:rPr>
          <w:rStyle w:val="a6"/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。</w:t>
      </w:r>
      <w:r>
        <w:rPr>
          <w:rStyle w:val="a6"/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开展“百行进万企”融资对接活动，推广银税互动、银保合作、政银担合作等模式，用好“信易贷”“潇湘财银贷”等平台和工具，增加信用贷款、首贷投放，推广随借随还贷款。充分发挥过桥资金作用，降低过桥费率，有效降低企业续贷综合融资成本。（人民银行邵东支行牵头，市发改局、市科工局、市财政局、市金融办、市人社局、市住建局、市市监局、市医保局、市税务局、国网邵东市供电</w:t>
      </w:r>
      <w:r>
        <w:rPr>
          <w:rStyle w:val="a6"/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lastRenderedPageBreak/>
        <w:t>公司等按职责分工负责）</w:t>
      </w:r>
    </w:p>
    <w:p w:rsidR="00000000" w:rsidRDefault="00000000">
      <w:pPr>
        <w:pStyle w:val="a5"/>
        <w:spacing w:beforeAutospacing="0" w:afterAutospacing="0" w:line="560" w:lineRule="exact"/>
        <w:ind w:firstLineChars="200" w:firstLine="643"/>
        <w:jc w:val="both"/>
        <w:rPr>
          <w:rStyle w:val="a6"/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Style w:val="a6"/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（三）降低企业要素成本。</w:t>
      </w:r>
      <w:r>
        <w:rPr>
          <w:rStyle w:val="a6"/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完善周转地、标准地、弹性地政策，引导企业集聚发展。做好保供稳价工作，加快推进重点工程建设，科学调度煤、电、油、气、运，防止要素成本高企造成市场预期减弱。加强城镇供水供电供气清理规范，帮助企业解决用工、资金、关键零部件供应等生产要素问题。（市发改局牵头，市自然资源局、市科工局、市人社局、人民银行邵东支行、市供销合作联社、国网邵东市供电公司等按职责分工负责）</w:t>
      </w:r>
    </w:p>
    <w:p w:rsidR="00000000" w:rsidRDefault="00000000">
      <w:pPr>
        <w:pStyle w:val="a5"/>
        <w:spacing w:beforeAutospacing="0" w:afterAutospacing="0" w:line="560" w:lineRule="exact"/>
        <w:ind w:firstLineChars="200" w:firstLine="643"/>
        <w:jc w:val="both"/>
        <w:rPr>
          <w:rStyle w:val="a6"/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Style w:val="a6"/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（四）优化行政审批服务。</w:t>
      </w:r>
      <w:r>
        <w:rPr>
          <w:rStyle w:val="a6"/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深入推进住所（经营场所）登记制度改革，推动“非禁即入”普遍落实。实现“证照分离”改革全覆盖，推进“照后减证”和简化审批。深化“一件事一次办”改革，提高“一网通办”效率，扩大“跨省通办”范围。推动高频电子证照标准化和跨区域互认共享。深化工程建设项目审批制度改革，进一步压减电力接入审批时间。发挥破产处置府院联动机制作用，优化简易注销制度。（市发改局、市行政审批服务局牵头，市司法局、市公安局、市人民法院、市人社局、市商务局、市税务局、市住建局、市市监局、人民银行邵东支行等按职责分工负责）</w:t>
      </w:r>
    </w:p>
    <w:p w:rsidR="00000000" w:rsidRDefault="00000000">
      <w:pPr>
        <w:pStyle w:val="a5"/>
        <w:spacing w:beforeAutospacing="0" w:afterAutospacing="0" w:line="560" w:lineRule="exact"/>
        <w:ind w:firstLineChars="200" w:firstLine="643"/>
        <w:jc w:val="both"/>
        <w:rPr>
          <w:rStyle w:val="a6"/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Style w:val="a6"/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（五）营造公平竞争环境。</w:t>
      </w:r>
      <w:r>
        <w:rPr>
          <w:rStyle w:val="a6"/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废除与企业性质、属地或规模挂钩的歧视性准入规定和补贴政策，加强民生保障、促进创新等重点领域的反垄断和反不正当竞争执法。完善涉企收费目录</w:t>
      </w:r>
      <w:r>
        <w:rPr>
          <w:rStyle w:val="a6"/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lastRenderedPageBreak/>
        <w:t>清单制度，加强涉企收费治理。发挥“互联网+监管”平台作用，推进部门联合“双随机、一公开”监管常态化。推广信用承诺制、告知承诺制，健全守信联合激励和失信联合惩戒机制。完善产权保护制度，依法全面保护各类产权。实行包容审慎监管，压缩自由裁量空间，推行轻微违法“首违不罚”。严格市场监管、质量监管、安全监管、金融监管，加强违法惩戒，严守市场安全底线。加强行业自律，建立健全行业规范，推动行业诚信体系建设。（市市监局牵头，市人民法院、市人民检察院、市发改局、市公安局、市住建局、市交通运输局、市农业农村局、市文旅广体局、市卫健局、市金融办、人民银行邵东支行、市税务局、市司法局等按职责分工负责）</w:t>
      </w:r>
    </w:p>
    <w:p w:rsidR="00000000" w:rsidRDefault="00000000">
      <w:pPr>
        <w:pStyle w:val="a5"/>
        <w:spacing w:beforeAutospacing="0" w:afterAutospacing="0" w:line="560" w:lineRule="exact"/>
        <w:ind w:firstLineChars="200" w:firstLine="640"/>
        <w:jc w:val="both"/>
        <w:rPr>
          <w:rStyle w:val="a6"/>
          <w:rFonts w:ascii="黑体" w:eastAsia="黑体" w:hAnsi="黑体" w:cs="黑体" w:hint="eastAsia"/>
          <w:b w:val="0"/>
          <w:color w:val="000000"/>
          <w:sz w:val="32"/>
          <w:szCs w:val="32"/>
        </w:rPr>
      </w:pPr>
      <w:r>
        <w:rPr>
          <w:rStyle w:val="a6"/>
          <w:rFonts w:ascii="黑体" w:eastAsia="黑体" w:hAnsi="黑体" w:cs="黑体" w:hint="eastAsia"/>
          <w:b w:val="0"/>
          <w:color w:val="000000"/>
          <w:sz w:val="32"/>
          <w:szCs w:val="32"/>
        </w:rPr>
        <w:t>五、工作要求</w:t>
      </w:r>
    </w:p>
    <w:p w:rsidR="00000000" w:rsidRDefault="00000000">
      <w:pPr>
        <w:spacing w:line="560" w:lineRule="exact"/>
        <w:ind w:firstLineChars="200" w:firstLine="643"/>
        <w:rPr>
          <w:rStyle w:val="a6"/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</w:pPr>
      <w:r>
        <w:rPr>
          <w:rStyle w:val="a6"/>
          <w:rFonts w:ascii="楷体_GB2312" w:eastAsia="楷体_GB2312" w:hAnsi="楷体_GB2312" w:cs="楷体_GB2312" w:hint="eastAsia"/>
          <w:bCs/>
          <w:color w:val="000000"/>
          <w:kern w:val="0"/>
          <w:sz w:val="32"/>
          <w:szCs w:val="32"/>
          <w:lang w:bidi="ar"/>
        </w:rPr>
        <w:t>（一）强化组织保障。</w:t>
      </w:r>
      <w:r>
        <w:rPr>
          <w:rStyle w:val="a6"/>
          <w:rFonts w:ascii="仿宋_GB2312" w:eastAsia="仿宋_GB2312" w:hAnsi="仿宋_GB2312" w:cs="仿宋_GB2312" w:hint="eastAsia"/>
          <w:b w:val="0"/>
          <w:color w:val="000000"/>
          <w:kern w:val="0"/>
          <w:sz w:val="32"/>
          <w:szCs w:val="32"/>
          <w:lang w:bidi="ar"/>
        </w:rPr>
        <w:t>建立市场主体高质量发展市级推进工作机制（以下简称推进机制），由市委</w:t>
      </w:r>
      <w:r>
        <w:rPr>
          <w:rStyle w:val="a6"/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书记周玉凡、市长李国军任总召集人，分管副市长龙薇薇任副召集人，各乡镇人民政府（街道、场）党政负责人、市直有关单位主要负责人为成员。推进机制办公室设市市监局，由市市监局党组书记、局长申明理任办公室主任，统筹推进市场主体倍增工作，协调解决工作中的重大问题。各乡镇人民政府（街道、场）、经开区管委会要建立相应工作机制，加强组织领导和统筹协调。各成员单位要组建工作专班，切实做好任务落实和督促指导。</w:t>
      </w:r>
    </w:p>
    <w:p w:rsidR="00000000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Style w:val="a6"/>
          <w:rFonts w:ascii="楷体_GB2312" w:eastAsia="楷体_GB2312" w:hAnsi="楷体_GB2312" w:cs="楷体_GB2312" w:hint="eastAsia"/>
          <w:bCs/>
          <w:color w:val="000000"/>
          <w:kern w:val="0"/>
          <w:sz w:val="32"/>
          <w:szCs w:val="32"/>
          <w:lang w:bidi="ar"/>
        </w:rPr>
        <w:t>（二）强化责任落实。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市市监局、市发改局、市科工局、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市商务局、市农业农村局、市住建局、市金融办、市文旅广体局、经开区管委会等指标牵头部门和各乡镇（街道、场）要根据方案分工和目标清单，结合本地本部门实际，进一步细化目标任务，分级分类制定任务书、路线图，确保任务落实到位。其他相关责任单位要根据方案分工，制定推进市场主体倍增工程的具体政策措施。</w:t>
      </w:r>
    </w:p>
    <w:p w:rsidR="00000000" w:rsidRDefault="00000000">
      <w:pPr>
        <w:pStyle w:val="a5"/>
        <w:spacing w:beforeAutospacing="0" w:afterAutospacing="0" w:line="560" w:lineRule="exact"/>
        <w:ind w:firstLineChars="200" w:firstLine="643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Style w:val="a6"/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（三）强化考核监测。</w:t>
      </w:r>
      <w:r>
        <w:rPr>
          <w:rStyle w:val="a6"/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市场主体培育推进情况纳入绩效考核体系和市政府“三重点”工作，对各</w:t>
      </w:r>
      <w:r>
        <w:rPr>
          <w:rStyle w:val="a6"/>
          <w:rFonts w:ascii="仿宋_GB2312" w:eastAsia="仿宋_GB2312" w:hAnsi="仿宋_GB2312" w:cs="仿宋_GB2312" w:hint="eastAsia"/>
          <w:b w:val="0"/>
          <w:color w:val="000000"/>
          <w:sz w:val="32"/>
          <w:szCs w:val="32"/>
        </w:rPr>
        <w:t>乡镇（街道）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实行月调度、季讲评、年考核。市政府督查室要将市场主体培育工作纳入重点督查范围，定期跟踪督查。推进机制办公室要牵头建立统计监测制度，建立健全统计监测指标体系，加强日常监测，强化工作调度。</w:t>
      </w:r>
    </w:p>
    <w:p w:rsidR="00000000" w:rsidRDefault="00000000">
      <w:pPr>
        <w:pStyle w:val="a5"/>
        <w:spacing w:beforeAutospacing="0" w:afterAutospacing="0" w:line="560" w:lineRule="exact"/>
        <w:ind w:firstLineChars="200" w:firstLine="643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Style w:val="a6"/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（四）强化宣传引导。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部门要充分利用各类媒体，宣传市场主体在经济社会发展中的重要地位、作用和培育市场主体的重要意义，以及优化营商环境促进市场主体倍增的政策措施，做好政策措施宣传解读，扩大知晓度、支持度和参与度，及时回应社会关切，确保政策措施全面落实；要及时总结市场主体培育发展中可推广复制的典型经验，提振市场主体信心，营造良好的舆论氛围。</w:t>
      </w:r>
    </w:p>
    <w:p w:rsidR="00000000" w:rsidRDefault="00000000">
      <w:pPr>
        <w:pStyle w:val="a5"/>
        <w:spacing w:beforeAutospacing="0" w:afterAutospacing="0" w:line="579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000000" w:rsidRDefault="00000000">
      <w:pPr>
        <w:pStyle w:val="a5"/>
        <w:spacing w:beforeAutospacing="0" w:afterAutospacing="0" w:line="579" w:lineRule="exact"/>
        <w:ind w:firstLineChars="200" w:firstLine="64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附件：1.全市市场主体发展目标清单</w:t>
      </w:r>
    </w:p>
    <w:p w:rsidR="00000000" w:rsidRDefault="00000000">
      <w:pPr>
        <w:pStyle w:val="a5"/>
        <w:spacing w:beforeAutospacing="0" w:afterAutospacing="0" w:line="579" w:lineRule="exact"/>
        <w:ind w:leftChars="759" w:left="1927" w:hangingChars="104" w:hanging="333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2.全市市场主体倍增工程乡镇（街道）分解表（市场主体类、企业类、个转企类）</w:t>
      </w:r>
    </w:p>
    <w:p w:rsidR="00000000" w:rsidRDefault="00000000">
      <w:pPr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br w:type="page"/>
      </w:r>
    </w:p>
    <w:p w:rsidR="00000000" w:rsidRDefault="00000000">
      <w:pPr>
        <w:pStyle w:val="a5"/>
        <w:spacing w:beforeAutospacing="0" w:afterLines="50" w:after="156" w:afterAutospacing="0" w:line="520" w:lineRule="exact"/>
        <w:jc w:val="both"/>
        <w:rPr>
          <w:rFonts w:ascii="黑体" w:eastAsia="黑体" w:hAnsi="黑体" w:cs="黑体" w:hint="eastAsia"/>
          <w:color w:val="000000"/>
          <w:sz w:val="32"/>
          <w:szCs w:val="32"/>
        </w:rPr>
        <w:sectPr w:rsidR="00000000">
          <w:footerReference w:type="default" r:id="rId6"/>
          <w:pgSz w:w="11906" w:h="16838"/>
          <w:pgMar w:top="2211" w:right="1474" w:bottom="1928" w:left="1644" w:header="851" w:footer="992" w:gutter="0"/>
          <w:pgNumType w:fmt="numberInDash"/>
          <w:cols w:space="720"/>
          <w:docGrid w:type="lines" w:linePitch="312"/>
        </w:sectPr>
      </w:pPr>
    </w:p>
    <w:p w:rsidR="00000000" w:rsidRDefault="00000000">
      <w:pPr>
        <w:pStyle w:val="a5"/>
        <w:spacing w:beforeAutospacing="0" w:after="0" w:afterAutospacing="0" w:line="520" w:lineRule="exact"/>
        <w:jc w:val="both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附件1</w:t>
      </w:r>
    </w:p>
    <w:p w:rsidR="00000000" w:rsidRDefault="00000000">
      <w:pPr>
        <w:pStyle w:val="a5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全市市场主体发展目标清单</w:t>
      </w:r>
    </w:p>
    <w:tbl>
      <w:tblPr>
        <w:tblW w:w="10077" w:type="dxa"/>
        <w:jc w:val="center"/>
        <w:tblInd w:w="0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2577"/>
        <w:gridCol w:w="843"/>
        <w:gridCol w:w="813"/>
        <w:gridCol w:w="775"/>
        <w:gridCol w:w="1824"/>
        <w:gridCol w:w="3245"/>
      </w:tblGrid>
      <w:tr w:rsidR="00000000">
        <w:trPr>
          <w:trHeight w:val="631"/>
          <w:tblHeader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指标类型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2021年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2022年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牵头部门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责任单位</w:t>
            </w:r>
          </w:p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Cs w:val="21"/>
                <w:lang w:bidi="ar"/>
              </w:rPr>
              <w:t>（以下均含各乡镇人民政府、街道办事处、经开区管委会）</w:t>
            </w:r>
          </w:p>
        </w:tc>
      </w:tr>
      <w:tr w:rsidR="00000000">
        <w:trPr>
          <w:trHeight w:hRule="exact" w:val="567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市场主体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（万户）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7.44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8.98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13.68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pacing w:val="-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  <w:lang w:bidi="ar"/>
              </w:rPr>
              <w:t>市市监局</w:t>
            </w:r>
          </w:p>
        </w:tc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市发改局、市公安局、市科工局、市财政局、市人社局、市医保局、市税务局、人民银行邵东支行</w:t>
            </w:r>
          </w:p>
        </w:tc>
      </w:tr>
      <w:tr w:rsidR="00000000">
        <w:trPr>
          <w:trHeight w:hRule="exact" w:val="567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企业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（万户）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1.42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1.79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3.83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6"/>
                <w:sz w:val="24"/>
              </w:rPr>
            </w:pPr>
          </w:p>
        </w:tc>
        <w:tc>
          <w:tcPr>
            <w:tcW w:w="3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个转企（户）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—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800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6"/>
                <w:sz w:val="24"/>
              </w:rPr>
            </w:pPr>
          </w:p>
        </w:tc>
        <w:tc>
          <w:tcPr>
            <w:tcW w:w="3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000000">
        <w:trPr>
          <w:trHeight w:val="631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规模以上农产品加工企业（户）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pacing w:val="-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  <w:lang w:bidi="ar"/>
              </w:rPr>
              <w:t>市农业农村局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市科工局、市商务局、市乡村振兴局等</w:t>
            </w:r>
          </w:p>
        </w:tc>
      </w:tr>
      <w:tr w:rsidR="00000000">
        <w:trPr>
          <w:trHeight w:val="941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具有总承包和专业承包资质的独立核算建筑业企业（户）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7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7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7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eastAsia"/>
                <w:spacing w:val="-6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  <w:lang w:bidi="ar"/>
              </w:rPr>
              <w:t>市住建局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市交通运输局、市水利局、</w:t>
            </w:r>
          </w:p>
          <w:p w:rsidR="00000000" w:rsidRDefault="00000000">
            <w:pPr>
              <w:spacing w:line="290" w:lineRule="exact"/>
              <w:textAlignment w:val="center"/>
              <w:rPr>
                <w:rStyle w:val="font1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市财政局等</w:t>
            </w:r>
          </w:p>
        </w:tc>
      </w:tr>
      <w:tr w:rsidR="00000000">
        <w:trPr>
          <w:trHeight w:val="941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规模以上服务业企业（户）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7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7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7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eastAsia"/>
                <w:spacing w:val="-6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  <w:lang w:bidi="ar"/>
              </w:rPr>
              <w:t>市发改局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textAlignment w:val="center"/>
              <w:rPr>
                <w:rStyle w:val="font1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市科工局、市住建局、市交通运输局、市商务局、市文旅广体局、市金融办等</w:t>
            </w:r>
          </w:p>
        </w:tc>
      </w:tr>
      <w:tr w:rsidR="00000000">
        <w:trPr>
          <w:trHeight w:val="631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限额以上商贸流通</w:t>
            </w:r>
          </w:p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企业（户）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7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416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7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7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eastAsia"/>
                <w:spacing w:val="-6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  <w:lang w:bidi="ar"/>
              </w:rPr>
              <w:t>市商务局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textAlignment w:val="center"/>
              <w:rPr>
                <w:rStyle w:val="font1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市发改局、市税务局、市统计局等</w:t>
            </w:r>
          </w:p>
        </w:tc>
      </w:tr>
      <w:tr w:rsidR="00000000">
        <w:trPr>
          <w:trHeight w:val="631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净增规模以上工业企业（户）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7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—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7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7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eastAsia"/>
                <w:spacing w:val="-6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  <w:lang w:bidi="ar"/>
              </w:rPr>
              <w:t>市科工局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textAlignment w:val="center"/>
              <w:rPr>
                <w:rStyle w:val="font1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市发改局等</w:t>
            </w:r>
          </w:p>
        </w:tc>
      </w:tr>
      <w:tr w:rsidR="00000000">
        <w:trPr>
          <w:trHeight w:hRule="exact" w:val="567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国家级小巨人企业（户）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7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7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7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eastAsia"/>
                <w:spacing w:val="-6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  <w:lang w:bidi="ar"/>
              </w:rPr>
              <w:t>市科工局</w:t>
            </w:r>
          </w:p>
        </w:tc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textAlignment w:val="center"/>
              <w:rPr>
                <w:rStyle w:val="font1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市工商联等</w:t>
            </w:r>
          </w:p>
        </w:tc>
      </w:tr>
      <w:tr w:rsidR="00000000">
        <w:trPr>
          <w:trHeight w:hRule="exact" w:val="567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省级小巨人企业（户）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7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7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eastAsia"/>
                <w:spacing w:val="-6"/>
                <w:sz w:val="24"/>
                <w:szCs w:val="24"/>
                <w:lang w:bidi="ar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textAlignment w:val="center"/>
              <w:rPr>
                <w:rStyle w:val="font1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</w:pPr>
          </w:p>
        </w:tc>
      </w:tr>
      <w:tr w:rsidR="00000000">
        <w:trPr>
          <w:trHeight w:hRule="exact" w:val="629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国家级制造业单项冠军企业（产品）（个）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7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7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eastAsia"/>
                <w:spacing w:val="-6"/>
                <w:sz w:val="24"/>
                <w:szCs w:val="24"/>
                <w:lang w:bidi="ar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textAlignment w:val="center"/>
              <w:rPr>
                <w:rStyle w:val="font1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1"/>
                <w:kern w:val="0"/>
                <w:sz w:val="24"/>
                <w:lang w:bidi="ar"/>
              </w:rPr>
              <w:t>市发改局、市工商联等</w:t>
            </w:r>
          </w:p>
        </w:tc>
      </w:tr>
      <w:tr w:rsidR="00000000">
        <w:trPr>
          <w:trHeight w:hRule="exact" w:val="629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“四上”文化旅游企业（户）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7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7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eastAsia"/>
                <w:spacing w:val="-6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  <w:lang w:bidi="ar"/>
              </w:rPr>
              <w:t>市文旅广体局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市农业农村局、市商务局、</w:t>
            </w:r>
          </w:p>
          <w:p w:rsidR="00000000" w:rsidRDefault="00000000">
            <w:pPr>
              <w:spacing w:line="290" w:lineRule="exact"/>
              <w:textAlignment w:val="center"/>
              <w:rPr>
                <w:rStyle w:val="font1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市市监局等</w:t>
            </w:r>
          </w:p>
        </w:tc>
      </w:tr>
      <w:tr w:rsidR="00000000">
        <w:trPr>
          <w:trHeight w:val="1031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上市公司（户）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7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7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7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Style w:val="font11"/>
                <w:rFonts w:ascii="仿宋_GB2312" w:eastAsia="仿宋_GB2312" w:hAnsi="仿宋_GB2312" w:cs="仿宋_GB2312" w:hint="eastAsia"/>
                <w:spacing w:val="-6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  <w:lang w:bidi="ar"/>
              </w:rPr>
              <w:t>市金融办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textAlignment w:val="center"/>
              <w:rPr>
                <w:rStyle w:val="font11"/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市人民法院、市人民检察院、市发改局、市科工局、市财政局、市商务局</w:t>
            </w:r>
          </w:p>
        </w:tc>
      </w:tr>
      <w:tr w:rsidR="00000000">
        <w:trPr>
          <w:trHeight w:hRule="exact" w:val="567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外商投资企业（户）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7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7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7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  <w:lang w:bidi="ar"/>
              </w:rPr>
              <w:t>市商务局</w:t>
            </w:r>
          </w:p>
        </w:tc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市市监局、市金融办等</w:t>
            </w:r>
          </w:p>
        </w:tc>
      </w:tr>
      <w:tr w:rsidR="00000000">
        <w:trPr>
          <w:trHeight w:hRule="exact" w:val="567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外贸实绩企业（户）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7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7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7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  <w:lang w:bidi="ar"/>
              </w:rPr>
            </w:pPr>
          </w:p>
        </w:tc>
        <w:tc>
          <w:tcPr>
            <w:tcW w:w="3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高新技术企业（户）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7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7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7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 w:val="24"/>
                <w:lang w:bidi="ar"/>
              </w:rPr>
              <w:t>市科工局</w:t>
            </w:r>
          </w:p>
        </w:tc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市市监局</w:t>
            </w:r>
          </w:p>
        </w:tc>
      </w:tr>
      <w:tr w:rsidR="00000000">
        <w:trPr>
          <w:trHeight w:hRule="exact" w:val="734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评价入库科技型中小企业（户）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spacing w:line="29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</w:p>
        </w:tc>
      </w:tr>
    </w:tbl>
    <w:p w:rsidR="00000000" w:rsidRDefault="00000000">
      <w:pPr>
        <w:spacing w:afterLines="50" w:after="156" w:line="560" w:lineRule="exact"/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sectPr w:rsidR="00000000">
          <w:pgSz w:w="11906" w:h="16838"/>
          <w:pgMar w:top="1701" w:right="1474" w:bottom="1417" w:left="1644" w:header="851" w:footer="737" w:gutter="0"/>
          <w:pgNumType w:fmt="numberInDash"/>
          <w:cols w:space="720"/>
          <w:docGrid w:type="lines" w:linePitch="312"/>
        </w:sectPr>
      </w:pPr>
    </w:p>
    <w:p w:rsidR="00000000" w:rsidRDefault="00000000">
      <w:pPr>
        <w:spacing w:line="50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附件2</w:t>
      </w:r>
    </w:p>
    <w:p w:rsidR="00000000" w:rsidRDefault="00000000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全市市场主体倍增工程乡镇（街道）</w:t>
      </w:r>
    </w:p>
    <w:p w:rsidR="00000000" w:rsidRDefault="00000000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分解表（市场主体类）</w:t>
      </w:r>
    </w:p>
    <w:p w:rsidR="00000000" w:rsidRDefault="00000000">
      <w:pPr>
        <w:pStyle w:val="a4"/>
        <w:rPr>
          <w:rFonts w:hint="eastAsia"/>
        </w:rPr>
      </w:pPr>
    </w:p>
    <w:tbl>
      <w:tblPr>
        <w:tblW w:w="5633" w:type="pct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82"/>
        <w:gridCol w:w="712"/>
        <w:gridCol w:w="712"/>
        <w:gridCol w:w="712"/>
        <w:gridCol w:w="771"/>
        <w:gridCol w:w="771"/>
        <w:gridCol w:w="771"/>
        <w:gridCol w:w="771"/>
        <w:gridCol w:w="771"/>
        <w:gridCol w:w="771"/>
        <w:gridCol w:w="771"/>
        <w:gridCol w:w="886"/>
      </w:tblGrid>
      <w:tr w:rsidR="00000000">
        <w:trPr>
          <w:trHeight w:hRule="exact" w:val="624"/>
          <w:tblHeader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spacing w:line="300" w:lineRule="exac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</w:p>
        </w:tc>
        <w:tc>
          <w:tcPr>
            <w:tcW w:w="81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2022年新增市场主体总量月度目标数（户）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2025年</w:t>
            </w:r>
          </w:p>
          <w:p w:rsidR="0000000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目标数</w:t>
            </w:r>
          </w:p>
          <w:p w:rsidR="0000000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（户）</w:t>
            </w:r>
          </w:p>
        </w:tc>
      </w:tr>
      <w:tr w:rsidR="00000000">
        <w:trPr>
          <w:trHeight w:hRule="exact" w:val="624"/>
          <w:tblHeader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spacing w:beforeLines="50" w:before="156" w:line="300" w:lineRule="exact"/>
              <w:ind w:rightChars="26" w:right="55"/>
              <w:jc w:val="left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Style w:val="font31"/>
                <w:rFonts w:ascii="黑体" w:eastAsia="黑体" w:hAnsi="黑体" w:cs="黑体"/>
                <w:sz w:val="24"/>
                <w:szCs w:val="24"/>
                <w:lang w:bidi="ar"/>
              </w:rPr>
              <w:t>乡镇（街道）</w:t>
            </w:r>
            <w:r>
              <w:rPr>
                <w:rStyle w:val="font101"/>
                <w:rFonts w:ascii="黑体" w:eastAsia="黑体" w:hAnsi="黑体" w:cs="黑体"/>
                <w:sz w:val="24"/>
                <w:szCs w:val="24"/>
                <w:lang w:bidi="ar"/>
              </w:rPr>
              <w:t xml:space="preserve">  月份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 xml:space="preserve">3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 xml:space="preserve">4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 xml:space="preserve">5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 xml:space="preserve">6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 xml:space="preserve">7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 xml:space="preserve">8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 xml:space="preserve">9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 xml:space="preserve">10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 xml:space="preserve">11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 xml:space="preserve">12 </w:t>
            </w: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spacing w:line="300" w:lineRule="exact"/>
              <w:jc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</w:p>
        </w:tc>
      </w:tr>
      <w:tr w:rsidR="00000000">
        <w:trPr>
          <w:trHeight w:hRule="exact" w:val="624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pacing w:val="-1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1"/>
                <w:w w:val="90"/>
                <w:kern w:val="0"/>
                <w:sz w:val="24"/>
                <w:lang w:bidi="ar"/>
              </w:rPr>
              <w:t>两市塘街道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285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655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1025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1424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1709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1965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2221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2421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2620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2848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16073 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pacing w:val="-1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1"/>
                <w:w w:val="90"/>
                <w:kern w:val="0"/>
                <w:sz w:val="24"/>
                <w:lang w:bidi="ar"/>
              </w:rPr>
              <w:t>魏家桥镇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33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77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120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167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200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230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260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284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307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334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1351 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pacing w:val="-1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1"/>
                <w:w w:val="90"/>
                <w:kern w:val="0"/>
                <w:sz w:val="24"/>
                <w:lang w:bidi="ar"/>
              </w:rPr>
              <w:t>宋家塘街道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657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1510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2364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3283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3940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4531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5122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5581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6041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6566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42290 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pacing w:val="-11"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1"/>
                <w:w w:val="90"/>
                <w:kern w:val="0"/>
                <w:sz w:val="24"/>
                <w:lang w:bidi="ar"/>
              </w:rPr>
              <w:t>大禾塘街道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614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1413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2212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3072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3686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4239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4792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5222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5652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6143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34058 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廉桥镇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157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361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564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784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941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1082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1223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1333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1443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1568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6634 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界岭镇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17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63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87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104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120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135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148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160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174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842 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流泽镇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39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89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139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193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232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267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301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329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356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387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1711 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斫曹乡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9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22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34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47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56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65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73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80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86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94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400 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牛马司镇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56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129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202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281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337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388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438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478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517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562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3395 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黑田铺镇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65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150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235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327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392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451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510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555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601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653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3974 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佘田桥镇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44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101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158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219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263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303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342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373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404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439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2015 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水东江镇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33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77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120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167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200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230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260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283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307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333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1467 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杨桥镇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46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72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101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121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139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157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171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185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201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1036 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野鸡坪镇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26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95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131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158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181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205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223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242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263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1048 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流光岭镇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15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35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54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76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91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104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118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129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139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151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613 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团山镇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92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143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199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239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275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311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338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366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398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1822 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砂石镇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19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43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68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94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113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130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147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160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173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188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766 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灵官殿镇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74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171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267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371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446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512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579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631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683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743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3218 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堡面前乡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24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38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52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63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72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82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89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96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105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376 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火厂坪镇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95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218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342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475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570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655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741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807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874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950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4118 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周官桥乡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37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85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132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184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221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254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287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312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338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368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1719 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简家陇镇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55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127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200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277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333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382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432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471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510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554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2123 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仙槎桥镇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96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221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346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480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577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663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750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817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884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961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4111 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双凤乡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13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46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64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77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89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100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109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118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129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469 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九龙岭镇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69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108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150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180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208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235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256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277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301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1170 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2539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5845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9148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12705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15249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17535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19821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21600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23379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25412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136800</w:t>
            </w:r>
          </w:p>
        </w:tc>
      </w:tr>
    </w:tbl>
    <w:p w:rsidR="00000000" w:rsidRDefault="00000000">
      <w:pPr>
        <w:spacing w:line="500" w:lineRule="exact"/>
        <w:ind w:left="1098" w:hangingChars="392" w:hanging="1098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备注：1.2021年、2022年、2025年市场主体数是指“各年期末市场主体实有数”；</w:t>
      </w:r>
    </w:p>
    <w:p w:rsidR="00000000" w:rsidRDefault="00000000">
      <w:pPr>
        <w:spacing w:line="500" w:lineRule="exact"/>
        <w:ind w:firstLineChars="300" w:firstLine="840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2.市场主体包括：企业、个体工商户、农民专业合作社；</w:t>
      </w:r>
    </w:p>
    <w:p w:rsidR="00000000" w:rsidRDefault="00000000">
      <w:pPr>
        <w:spacing w:line="500" w:lineRule="exact"/>
        <w:ind w:leftChars="400" w:left="1098" w:hangingChars="92" w:hanging="258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3.企业包括：内资公司及分支机构，个人独资企业、合伙企业及分支机构，外商投资企业及分支机构。</w:t>
      </w:r>
    </w:p>
    <w:p w:rsidR="00000000" w:rsidRDefault="00000000">
      <w:pPr>
        <w:widowControl/>
        <w:spacing w:line="500" w:lineRule="exact"/>
        <w:jc w:val="center"/>
        <w:textAlignment w:val="center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  <w:lang w:bidi="ar"/>
        </w:rPr>
        <w:br w:type="page"/>
      </w:r>
    </w:p>
    <w:p w:rsidR="00000000" w:rsidRDefault="00000000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全市市场主体倍增工程乡镇（街道）</w:t>
      </w:r>
    </w:p>
    <w:p w:rsidR="00000000" w:rsidRDefault="00000000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分解表（企业类）</w:t>
      </w:r>
    </w:p>
    <w:p w:rsidR="00000000" w:rsidRDefault="00000000">
      <w:pPr>
        <w:pStyle w:val="a4"/>
        <w:rPr>
          <w:rFonts w:hint="eastAsia"/>
        </w:rPr>
      </w:pPr>
    </w:p>
    <w:tbl>
      <w:tblPr>
        <w:tblW w:w="100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344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946"/>
      </w:tblGrid>
      <w:tr w:rsidR="00000000">
        <w:trPr>
          <w:trHeight w:hRule="exact" w:val="624"/>
          <w:tblHeader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7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2022年新增企业月度目标数（户）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2025年</w:t>
            </w:r>
          </w:p>
          <w:p w:rsidR="00000000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目标数</w:t>
            </w:r>
          </w:p>
          <w:p w:rsidR="00000000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（户）</w:t>
            </w:r>
          </w:p>
        </w:tc>
      </w:tr>
      <w:tr w:rsidR="00000000">
        <w:trPr>
          <w:trHeight w:hRule="exact" w:val="584"/>
          <w:tblHeader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spacing w:beforeLines="20" w:before="62" w:line="6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Style w:val="font31"/>
                <w:rFonts w:ascii="黑体" w:eastAsia="黑体" w:hAnsi="黑体" w:cs="黑体"/>
                <w:sz w:val="28"/>
                <w:szCs w:val="28"/>
                <w:lang w:bidi="ar"/>
              </w:rPr>
              <w:t>乡镇（街道）</w:t>
            </w:r>
            <w:r>
              <w:rPr>
                <w:rStyle w:val="font101"/>
                <w:rFonts w:ascii="黑体" w:eastAsia="黑体" w:hAnsi="黑体" w:cs="黑体"/>
                <w:sz w:val="28"/>
                <w:szCs w:val="28"/>
                <w:lang w:bidi="ar"/>
              </w:rPr>
              <w:t>月份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 xml:space="preserve">3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 xml:space="preserve">4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 xml:space="preserve">5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 xml:space="preserve">6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 xml:space="preserve">7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 xml:space="preserve">8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 xml:space="preserve">9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 xml:space="preserve">10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 xml:space="preserve">11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 xml:space="preserve">12 </w:t>
            </w: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00000">
        <w:trPr>
          <w:trHeight w:hRule="exact" w:val="624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1"/>
                <w:w w:val="90"/>
                <w:kern w:val="0"/>
                <w:sz w:val="24"/>
                <w:lang w:bidi="ar"/>
              </w:rPr>
              <w:t>两市塘街道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441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498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543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588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639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4286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魏家桥镇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525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pacing w:val="-11"/>
                <w:w w:val="9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1"/>
                <w:w w:val="90"/>
                <w:kern w:val="0"/>
                <w:sz w:val="24"/>
                <w:lang w:bidi="ar"/>
              </w:rPr>
              <w:t>宋家塘街道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530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736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884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1016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1149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1252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1355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1473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13100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pacing w:val="-11"/>
                <w:w w:val="9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1"/>
                <w:w w:val="90"/>
                <w:kern w:val="0"/>
                <w:sz w:val="24"/>
                <w:lang w:bidi="ar"/>
              </w:rPr>
              <w:t>大禾塘街道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496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689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827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951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1075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1171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1268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1378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7593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廉桥镇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1122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界岭镇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269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流泽镇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710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斫曹乡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牛马司镇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1761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黑田铺镇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1937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佘田桥镇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水东江镇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442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杨桥镇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388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野鸡坪镇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191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流光岭镇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221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团山镇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352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砂石镇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212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灵官殿镇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1006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堡面前乡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火厂坪镇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1057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周官桥乡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821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简家陇镇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370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仙槎桥镇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1185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双凤乡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九龙岭镇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260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570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1314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2051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2848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3419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3936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4443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4847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5246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5700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38300</w:t>
            </w:r>
          </w:p>
        </w:tc>
      </w:tr>
    </w:tbl>
    <w:p w:rsidR="00000000" w:rsidRDefault="00000000">
      <w:pPr>
        <w:widowControl/>
        <w:textAlignment w:val="center"/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br w:type="page"/>
      </w:r>
    </w:p>
    <w:p w:rsidR="00000000" w:rsidRDefault="00000000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全市市场主体倍增工程乡镇（街道）</w:t>
      </w:r>
    </w:p>
    <w:p w:rsidR="00000000" w:rsidRDefault="00000000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分解表（个转企类）</w:t>
      </w:r>
    </w:p>
    <w:p w:rsidR="00000000" w:rsidRDefault="00000000">
      <w:pPr>
        <w:pStyle w:val="a4"/>
        <w:rPr>
          <w:rFonts w:hint="eastAsia"/>
        </w:rPr>
      </w:pPr>
    </w:p>
    <w:tbl>
      <w:tblPr>
        <w:tblW w:w="1010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404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1030"/>
      </w:tblGrid>
      <w:tr w:rsidR="00000000">
        <w:trPr>
          <w:trHeight w:hRule="exact" w:val="567"/>
          <w:tblHeader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spacing w:line="300" w:lineRule="exact"/>
              <w:jc w:val="center"/>
              <w:rPr>
                <w:rFonts w:ascii="黑体" w:eastAsia="黑体" w:hAnsi="黑体" w:cs="黑体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2022年个转企月度目标数（户）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2025年</w:t>
            </w:r>
          </w:p>
          <w:p w:rsidR="00000000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目标数</w:t>
            </w:r>
          </w:p>
          <w:p w:rsidR="00000000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（户）</w:t>
            </w:r>
          </w:p>
        </w:tc>
      </w:tr>
      <w:tr w:rsidR="00000000">
        <w:trPr>
          <w:trHeight w:hRule="exact" w:val="525"/>
          <w:tblHeader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vertAlign w:val="subscript"/>
                <w:lang w:bidi="ar"/>
              </w:rPr>
              <w:t>乡镇（街道）</w:t>
            </w:r>
            <w:r>
              <w:rPr>
                <w:rStyle w:val="font81"/>
                <w:rFonts w:ascii="黑体" w:eastAsia="黑体" w:hAnsi="黑体" w:cs="黑体"/>
                <w:sz w:val="28"/>
                <w:szCs w:val="28"/>
                <w:lang w:bidi="ar"/>
              </w:rPr>
              <w:t>月份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3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4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5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6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7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8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9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10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11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12 </w:t>
            </w: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spacing w:line="300" w:lineRule="exact"/>
              <w:jc w:val="center"/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</w:pPr>
          </w:p>
        </w:tc>
      </w:tr>
      <w:tr w:rsidR="00000000">
        <w:trPr>
          <w:trHeight w:hRule="exact" w:val="62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1"/>
                <w:w w:val="90"/>
                <w:kern w:val="0"/>
                <w:sz w:val="24"/>
                <w:lang w:bidi="ar"/>
              </w:rPr>
              <w:t>两市塘街道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10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15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20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25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30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35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40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45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魏家桥镇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7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8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9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pacing w:val="-11"/>
                <w:w w:val="9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1"/>
                <w:w w:val="90"/>
                <w:kern w:val="0"/>
                <w:sz w:val="24"/>
                <w:lang w:bidi="ar"/>
              </w:rPr>
              <w:t>宋家塘街道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10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15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20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25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30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35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40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45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pacing w:val="-11"/>
                <w:w w:val="9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1"/>
                <w:w w:val="90"/>
                <w:kern w:val="0"/>
                <w:sz w:val="24"/>
                <w:lang w:bidi="ar"/>
              </w:rPr>
              <w:t>大禾塘街道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10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15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20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25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30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35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40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45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廉桥镇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9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12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15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18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21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24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27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界岭镇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7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8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9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流泽镇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7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8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9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斫曹乡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7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8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9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牛马司镇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7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8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9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黑田铺镇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7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8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9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佘田桥镇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7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8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9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水东江镇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7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8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9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杨桥镇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7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8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9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野鸡坪镇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7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8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9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流光岭镇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7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8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9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团山镇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7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8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9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砂石镇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7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8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9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灵官殿镇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7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8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9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堡面前乡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7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8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9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火厂坪镇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9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12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15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18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21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24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27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周官桥乡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9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12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15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18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21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24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27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简家陇镇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7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8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9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仙槎桥镇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7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8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9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双凤乡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7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8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9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九龙岭镇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2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3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4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5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6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7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8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9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10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000000">
        <w:trPr>
          <w:trHeight w:hRule="exact" w:val="62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800</w:t>
            </w:r>
          </w:p>
        </w:tc>
      </w:tr>
    </w:tbl>
    <w:p w:rsidR="00000000" w:rsidRDefault="00000000">
      <w:pPr>
        <w:pStyle w:val="5"/>
        <w:rPr>
          <w:rFonts w:hint="eastAsia"/>
        </w:rPr>
      </w:pPr>
    </w:p>
    <w:p w:rsidR="00000000" w:rsidRDefault="00000000">
      <w:pPr>
        <w:pStyle w:val="a5"/>
        <w:widowControl/>
        <w:spacing w:before="0" w:beforeAutospacing="0" w:after="0" w:afterAutospacing="0"/>
        <w:ind w:firstLineChars="1700" w:firstLine="5440"/>
        <w:rPr>
          <w:rFonts w:ascii="仿宋" w:eastAsia="仿宋" w:hAnsi="仿宋" w:cs="仿宋" w:hint="eastAsia"/>
          <w:sz w:val="32"/>
          <w:szCs w:val="32"/>
        </w:rPr>
      </w:pPr>
    </w:p>
    <w:p w:rsidR="00000000" w:rsidRDefault="00000000">
      <w:pPr>
        <w:pStyle w:val="a5"/>
        <w:widowControl/>
        <w:spacing w:before="0" w:beforeAutospacing="0" w:after="0" w:afterAutospacing="0"/>
        <w:ind w:firstLineChars="1700" w:firstLine="5440"/>
        <w:rPr>
          <w:rFonts w:ascii="仿宋" w:eastAsia="仿宋" w:hAnsi="仿宋" w:cs="仿宋" w:hint="eastAsia"/>
          <w:sz w:val="32"/>
          <w:szCs w:val="32"/>
        </w:rPr>
      </w:pPr>
    </w:p>
    <w:p w:rsidR="00000000" w:rsidRDefault="00000000">
      <w:pPr>
        <w:pStyle w:val="a5"/>
        <w:widowControl/>
        <w:spacing w:before="0" w:beforeAutospacing="0" w:after="0" w:afterAutospacing="0"/>
        <w:ind w:firstLineChars="1700" w:firstLine="5440"/>
        <w:rPr>
          <w:rFonts w:ascii="仿宋" w:eastAsia="仿宋" w:hAnsi="仿宋" w:cs="仿宋" w:hint="eastAsia"/>
          <w:sz w:val="32"/>
          <w:szCs w:val="32"/>
        </w:rPr>
      </w:pPr>
    </w:p>
    <w:p w:rsidR="00000000" w:rsidRDefault="00000000">
      <w:pPr>
        <w:pStyle w:val="a5"/>
        <w:widowControl/>
        <w:spacing w:before="0" w:beforeAutospacing="0" w:after="0" w:afterAutospacing="0"/>
        <w:ind w:firstLineChars="1700" w:firstLine="5440"/>
        <w:rPr>
          <w:rFonts w:ascii="仿宋" w:eastAsia="仿宋" w:hAnsi="仿宋" w:cs="仿宋" w:hint="eastAsia"/>
          <w:sz w:val="32"/>
          <w:szCs w:val="32"/>
        </w:rPr>
      </w:pPr>
    </w:p>
    <w:p w:rsidR="00000000" w:rsidRDefault="00000000">
      <w:pPr>
        <w:pStyle w:val="a5"/>
        <w:widowControl/>
        <w:spacing w:before="0" w:beforeAutospacing="0" w:after="0" w:afterAutospacing="0"/>
        <w:ind w:firstLineChars="1700" w:firstLine="5440"/>
        <w:rPr>
          <w:rFonts w:ascii="仿宋" w:eastAsia="仿宋" w:hAnsi="仿宋" w:cs="仿宋" w:hint="eastAsia"/>
          <w:sz w:val="32"/>
          <w:szCs w:val="32"/>
        </w:rPr>
      </w:pPr>
    </w:p>
    <w:p w:rsidR="00000000" w:rsidRDefault="00000000">
      <w:pPr>
        <w:pStyle w:val="a5"/>
        <w:widowControl/>
        <w:spacing w:before="0" w:beforeAutospacing="0" w:after="0" w:afterAutospacing="0"/>
        <w:ind w:firstLineChars="1700" w:firstLine="5440"/>
        <w:rPr>
          <w:rFonts w:ascii="仿宋" w:eastAsia="仿宋" w:hAnsi="仿宋" w:cs="仿宋" w:hint="eastAsia"/>
          <w:sz w:val="32"/>
          <w:szCs w:val="32"/>
        </w:rPr>
      </w:pPr>
    </w:p>
    <w:p w:rsidR="00000000" w:rsidRDefault="00000000">
      <w:pPr>
        <w:pStyle w:val="a5"/>
        <w:widowControl/>
        <w:spacing w:before="0" w:beforeAutospacing="0" w:after="0" w:afterAutospacing="0"/>
        <w:ind w:firstLineChars="1700" w:firstLine="5440"/>
        <w:rPr>
          <w:rFonts w:ascii="仿宋" w:eastAsia="仿宋" w:hAnsi="仿宋" w:cs="仿宋" w:hint="eastAsia"/>
          <w:sz w:val="32"/>
          <w:szCs w:val="32"/>
        </w:rPr>
      </w:pPr>
    </w:p>
    <w:p w:rsidR="00000000" w:rsidRDefault="00000000">
      <w:pPr>
        <w:pStyle w:val="a5"/>
        <w:widowControl/>
        <w:spacing w:before="0" w:beforeAutospacing="0" w:after="0" w:afterAutospacing="0"/>
        <w:ind w:firstLineChars="1700" w:firstLine="5440"/>
        <w:rPr>
          <w:rFonts w:ascii="仿宋" w:eastAsia="仿宋" w:hAnsi="仿宋" w:cs="仿宋" w:hint="eastAsia"/>
          <w:sz w:val="32"/>
          <w:szCs w:val="32"/>
        </w:rPr>
      </w:pPr>
    </w:p>
    <w:p w:rsidR="00000000" w:rsidRDefault="00000000">
      <w:pPr>
        <w:pStyle w:val="a5"/>
        <w:widowControl/>
        <w:spacing w:before="0" w:beforeAutospacing="0" w:after="0" w:afterAutospacing="0"/>
        <w:ind w:firstLineChars="1700" w:firstLine="5440"/>
        <w:rPr>
          <w:rFonts w:ascii="仿宋" w:eastAsia="仿宋" w:hAnsi="仿宋" w:cs="仿宋" w:hint="eastAsia"/>
          <w:sz w:val="32"/>
          <w:szCs w:val="32"/>
        </w:rPr>
      </w:pPr>
    </w:p>
    <w:p w:rsidR="00000000" w:rsidRDefault="00000000">
      <w:pPr>
        <w:pStyle w:val="a5"/>
        <w:widowControl/>
        <w:spacing w:before="0" w:beforeAutospacing="0" w:after="0" w:afterAutospacing="0"/>
        <w:ind w:firstLineChars="1700" w:firstLine="5440"/>
        <w:rPr>
          <w:rFonts w:ascii="仿宋" w:eastAsia="仿宋" w:hAnsi="仿宋" w:cs="仿宋" w:hint="eastAsia"/>
          <w:sz w:val="32"/>
          <w:szCs w:val="32"/>
        </w:rPr>
      </w:pPr>
    </w:p>
    <w:p w:rsidR="00000000" w:rsidRDefault="00000000">
      <w:pPr>
        <w:pStyle w:val="a5"/>
        <w:widowControl/>
        <w:spacing w:before="0" w:beforeAutospacing="0" w:after="0" w:afterAutospacing="0"/>
        <w:ind w:firstLineChars="1700" w:firstLine="5440"/>
        <w:rPr>
          <w:rFonts w:ascii="仿宋" w:eastAsia="仿宋" w:hAnsi="仿宋" w:cs="仿宋" w:hint="eastAsia"/>
          <w:sz w:val="32"/>
          <w:szCs w:val="32"/>
        </w:rPr>
      </w:pPr>
    </w:p>
    <w:p w:rsidR="00000000" w:rsidRDefault="00000000">
      <w:pPr>
        <w:pStyle w:val="a5"/>
        <w:widowControl/>
        <w:spacing w:before="0" w:beforeAutospacing="0" w:after="0" w:afterAutospacing="0"/>
        <w:ind w:firstLineChars="1700" w:firstLine="5440"/>
        <w:rPr>
          <w:rFonts w:ascii="仿宋" w:eastAsia="仿宋" w:hAnsi="仿宋" w:cs="仿宋" w:hint="eastAsia"/>
          <w:sz w:val="32"/>
          <w:szCs w:val="32"/>
        </w:rPr>
      </w:pPr>
    </w:p>
    <w:p w:rsidR="00000000" w:rsidRDefault="00000000">
      <w:pPr>
        <w:pStyle w:val="a5"/>
        <w:widowControl/>
        <w:spacing w:before="0" w:beforeAutospacing="0" w:after="0" w:afterAutospacing="0"/>
        <w:ind w:firstLineChars="1700" w:firstLine="5440"/>
        <w:rPr>
          <w:rFonts w:ascii="仿宋" w:eastAsia="仿宋" w:hAnsi="仿宋" w:cs="仿宋" w:hint="eastAsia"/>
          <w:sz w:val="32"/>
          <w:szCs w:val="32"/>
        </w:rPr>
      </w:pPr>
    </w:p>
    <w:p w:rsidR="00000000" w:rsidRDefault="00000000">
      <w:pPr>
        <w:pStyle w:val="a5"/>
        <w:widowControl/>
        <w:spacing w:before="0" w:beforeAutospacing="0" w:after="0" w:afterAutospacing="0"/>
        <w:ind w:firstLineChars="1700" w:firstLine="5440"/>
        <w:rPr>
          <w:rFonts w:ascii="仿宋" w:eastAsia="仿宋" w:hAnsi="仿宋" w:cs="仿宋" w:hint="eastAsia"/>
          <w:sz w:val="32"/>
          <w:szCs w:val="32"/>
        </w:rPr>
      </w:pPr>
    </w:p>
    <w:p w:rsidR="00000000" w:rsidRDefault="00000000">
      <w:pPr>
        <w:pStyle w:val="a5"/>
        <w:widowControl/>
        <w:spacing w:before="0" w:beforeAutospacing="0" w:after="0" w:afterAutospacing="0"/>
        <w:ind w:firstLineChars="1700" w:firstLine="5440"/>
        <w:rPr>
          <w:rFonts w:ascii="仿宋" w:eastAsia="仿宋" w:hAnsi="仿宋" w:cs="仿宋" w:hint="eastAsia"/>
          <w:sz w:val="32"/>
          <w:szCs w:val="32"/>
        </w:rPr>
      </w:pPr>
    </w:p>
    <w:p w:rsidR="007E09BA" w:rsidRDefault="007E09BA">
      <w:pPr>
        <w:pStyle w:val="a5"/>
        <w:widowControl/>
        <w:spacing w:before="0" w:beforeAutospacing="0" w:after="0" w:afterAutospacing="0"/>
        <w:rPr>
          <w:rFonts w:ascii="仿宋" w:eastAsia="仿宋" w:hAnsi="仿宋" w:cs="仿宋" w:hint="eastAsia"/>
          <w:sz w:val="32"/>
          <w:szCs w:val="32"/>
        </w:rPr>
      </w:pPr>
    </w:p>
    <w:sectPr w:rsidR="007E09B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09BA" w:rsidRDefault="007E09BA">
      <w:r>
        <w:separator/>
      </w:r>
    </w:p>
  </w:endnote>
  <w:endnote w:type="continuationSeparator" w:id="0">
    <w:p w:rsidR="007E09BA" w:rsidRDefault="007E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E377F364-B126-457F-8632-3B165762E8B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2" w:fontKey="{4D8F41D0-140A-499C-BE35-CA89B7E296B4}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  <w:embedRegular r:id="rId3" w:subsetted="1" w:fontKey="{AB3156E6-A52F-477B-A163-7806A5F6FDB7}"/>
    <w:embedBold r:id="rId4" w:subsetted="1" w:fontKey="{4700DEF9-1628-448C-A019-080B2ACC4F80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65F04BAB-2D0D-499B-B4A9-6985BAD92C79}"/>
    <w:embedBold r:id="rId6" w:subsetted="1" w:fontKey="{277A3F2E-7F9D-4045-9BD7-717D21E4B613}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  <w:embedRegular r:id="rId7" w:subsetted="1" w:fontKey="{85435AD5-052D-4626-BA62-CDCBF6070ACF}"/>
    <w:embedBold r:id="rId8" w:subsetted="1" w:fontKey="{EDCB2A7C-F4FC-4E5F-B416-769AD6734701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92.8pt;margin-top:0;width:2in;height:2in;z-index:1;mso-wrap-style:none;mso-position-horizontal:outside;mso-position-horizontal-relative:margin;v-text-anchor:top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fill o:detectmouseclick="t"/>
          <v:textbox style="mso-fit-shape-to-text:t" inset="0,0,0,0">
            <w:txbxContent>
              <w:p w:rsidR="00000000" w:rsidRDefault="00000000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09BA" w:rsidRDefault="007E09BA">
      <w:r>
        <w:separator/>
      </w:r>
    </w:p>
  </w:footnote>
  <w:footnote w:type="continuationSeparator" w:id="0">
    <w:p w:rsidR="007E09BA" w:rsidRDefault="007E0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embedTrueTypeFonts/>
  <w:saveSubsetFonts/>
  <w:proofState w:spelling="clean"/>
  <w:doNotTrackMoves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jM5MjQ5MmUyOTZlYjcxYjhkYTFhMjAxMDdiMGQwOTAifQ=="/>
    <w:docVar w:name="KSO_WPS_MARK_KEY" w:val="e34588e3-63b7-4440-a511-14f03b7ef98a"/>
  </w:docVars>
  <w:rsids>
    <w:rsidRoot w:val="00B511B3"/>
    <w:rsid w:val="007E09BA"/>
    <w:rsid w:val="00B511B3"/>
    <w:rsid w:val="0C57275D"/>
    <w:rsid w:val="25405722"/>
    <w:rsid w:val="2E471565"/>
    <w:rsid w:val="35447A42"/>
    <w:rsid w:val="3AD500F9"/>
    <w:rsid w:val="47223751"/>
    <w:rsid w:val="4F073684"/>
    <w:rsid w:val="5A5364A5"/>
    <w:rsid w:val="66910595"/>
    <w:rsid w:val="6927391C"/>
    <w:rsid w:val="69571692"/>
    <w:rsid w:val="6BCE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2C3877"/>
  <w15:chartTrackingRefBased/>
  <w15:docId w15:val="{D75E0140-BC1E-4A26-A13B-875BA8B3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qFormat="1"/>
    <w:lsdException w:name="Subtitle" w:qFormat="1"/>
    <w:lsdException w:name="Body Text First Indent 2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0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ind w:firstLineChars="200" w:firstLine="420"/>
    </w:pPr>
  </w:style>
  <w:style w:type="paragraph" w:styleId="a3">
    <w:name w:val="Body Text Indent"/>
    <w:basedOn w:val="a"/>
    <w:uiPriority w:val="99"/>
    <w:qFormat/>
    <w:pPr>
      <w:ind w:leftChars="200" w:left="420"/>
    </w:pPr>
  </w:style>
  <w:style w:type="paragraph" w:styleId="5">
    <w:name w:val="index 5"/>
    <w:basedOn w:val="a"/>
    <w:next w:val="a"/>
    <w:qFormat/>
    <w:pPr>
      <w:ind w:left="1680"/>
    </w:pPr>
    <w:rPr>
      <w:sz w:val="32"/>
    </w:rPr>
  </w:style>
  <w:style w:type="paragraph" w:styleId="a4">
    <w:name w:val="footer"/>
    <w:basedOn w:val="a"/>
    <w:next w:val="5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qFormat/>
    <w:rPr>
      <w:b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font11">
    <w:name w:val="font1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31">
    <w:name w:val="font31"/>
    <w:qFormat/>
    <w:rPr>
      <w:rFonts w:ascii="仿宋" w:eastAsia="仿宋" w:hAnsi="仿宋" w:cs="仿宋" w:hint="eastAsia"/>
      <w:color w:val="000000"/>
      <w:sz w:val="32"/>
      <w:szCs w:val="32"/>
      <w:u w:val="none"/>
      <w:vertAlign w:val="subscript"/>
    </w:rPr>
  </w:style>
  <w:style w:type="character" w:customStyle="1" w:styleId="font101">
    <w:name w:val="font101"/>
    <w:qFormat/>
    <w:rPr>
      <w:rFonts w:ascii="仿宋" w:eastAsia="仿宋" w:hAnsi="仿宋" w:cs="仿宋" w:hint="eastAsia"/>
      <w:color w:val="000000"/>
      <w:sz w:val="32"/>
      <w:szCs w:val="32"/>
      <w:u w:val="none"/>
      <w:vertAlign w:val="superscript"/>
    </w:rPr>
  </w:style>
  <w:style w:type="character" w:customStyle="1" w:styleId="font81">
    <w:name w:val="font81"/>
    <w:qFormat/>
    <w:rPr>
      <w:rFonts w:ascii="仿宋" w:eastAsia="仿宋" w:hAnsi="仿宋" w:cs="仿宋" w:hint="eastAsia"/>
      <w:color w:val="000000"/>
      <w:sz w:val="32"/>
      <w:szCs w:val="32"/>
      <w:u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1383</Words>
  <Characters>7886</Characters>
  <Application>Microsoft Office Word</Application>
  <DocSecurity>0</DocSecurity>
  <Lines>65</Lines>
  <Paragraphs>18</Paragraphs>
  <ScaleCrop>false</ScaleCrop>
  <Company/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8618175930230</cp:lastModifiedBy>
  <cp:revision>2</cp:revision>
  <dcterms:created xsi:type="dcterms:W3CDTF">2023-05-24T09:49:00Z</dcterms:created>
  <dcterms:modified xsi:type="dcterms:W3CDTF">2023-05-24T09:49:00Z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3E00344056494203BF608B750D96CA72_13</vt:lpwstr>
  </property>
</Properties>
</file>