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620" w:lineRule="exact"/>
        <w:jc w:val="center"/>
        <w:textAlignment w:val="baseline"/>
        <w:rPr>
          <w:rStyle w:val="13"/>
          <w:rFonts w:ascii="Times New Roman" w:hAnsi="Times New Roman" w:eastAsia="方正小标宋简体"/>
          <w:b w:val="0"/>
          <w:bCs w:val="0"/>
          <w:i w:val="0"/>
          <w:caps w:val="0"/>
          <w:color w:val="000000"/>
          <w:spacing w:val="0"/>
          <w:w w:val="100"/>
          <w:kern w:val="2"/>
          <w:sz w:val="44"/>
          <w:szCs w:val="44"/>
          <w:lang w:val="en-US" w:eastAsia="zh-CN" w:bidi="ar-SA"/>
        </w:rPr>
      </w:pPr>
      <w:r>
        <w:rPr>
          <w:rStyle w:val="13"/>
          <w:rFonts w:ascii="Times New Roman" w:hAnsi="Times New Roman" w:eastAsia="方正小标宋简体"/>
          <w:b w:val="0"/>
          <w:bCs w:val="0"/>
          <w:i w:val="0"/>
          <w:caps w:val="0"/>
          <w:color w:val="000000"/>
          <w:spacing w:val="0"/>
          <w:w w:val="100"/>
          <w:kern w:val="2"/>
          <w:sz w:val="44"/>
          <w:szCs w:val="44"/>
          <w:lang w:val="en-US" w:eastAsia="zh-CN" w:bidi="ar-SA"/>
        </w:rPr>
        <w:t>邵东市集体土地征收及房屋拆迁</w:t>
      </w:r>
    </w:p>
    <w:p>
      <w:pPr>
        <w:snapToGrid w:val="0"/>
        <w:spacing w:before="0" w:beforeAutospacing="0" w:after="0" w:afterAutospacing="0" w:line="620" w:lineRule="exact"/>
        <w:jc w:val="center"/>
        <w:textAlignment w:val="baseline"/>
        <w:rPr>
          <w:rStyle w:val="13"/>
          <w:rFonts w:ascii="Times New Roman" w:hAnsi="Times New Roman" w:eastAsia="方正小标宋简体"/>
          <w:b w:val="0"/>
          <w:bCs w:val="0"/>
          <w:i w:val="0"/>
          <w:caps w:val="0"/>
          <w:color w:val="000000"/>
          <w:spacing w:val="0"/>
          <w:w w:val="100"/>
          <w:kern w:val="2"/>
          <w:sz w:val="44"/>
          <w:szCs w:val="44"/>
          <w:lang w:val="en-US" w:eastAsia="zh-CN" w:bidi="ar-SA"/>
        </w:rPr>
      </w:pPr>
      <w:r>
        <w:rPr>
          <w:rStyle w:val="13"/>
          <w:rFonts w:ascii="Times New Roman" w:hAnsi="Times New Roman" w:eastAsia="方正小标宋简体"/>
          <w:b w:val="0"/>
          <w:bCs w:val="0"/>
          <w:i w:val="0"/>
          <w:caps w:val="0"/>
          <w:color w:val="000000"/>
          <w:spacing w:val="0"/>
          <w:w w:val="100"/>
          <w:kern w:val="2"/>
          <w:sz w:val="44"/>
          <w:szCs w:val="44"/>
          <w:lang w:val="en-US" w:eastAsia="zh-CN" w:bidi="ar-SA"/>
        </w:rPr>
        <w:t>补</w:t>
      </w:r>
      <w:bookmarkStart w:id="0" w:name="_GoBack"/>
      <w:bookmarkEnd w:id="0"/>
      <w:r>
        <w:rPr>
          <w:rStyle w:val="13"/>
          <w:rFonts w:ascii="Times New Roman" w:hAnsi="Times New Roman" w:eastAsia="方正小标宋简体"/>
          <w:b w:val="0"/>
          <w:bCs w:val="0"/>
          <w:i w:val="0"/>
          <w:caps w:val="0"/>
          <w:color w:val="000000"/>
          <w:spacing w:val="0"/>
          <w:w w:val="100"/>
          <w:kern w:val="2"/>
          <w:sz w:val="44"/>
          <w:szCs w:val="44"/>
          <w:lang w:val="en-US" w:eastAsia="zh-CN" w:bidi="ar-SA"/>
        </w:rPr>
        <w:t>偿安置办法</w:t>
      </w:r>
    </w:p>
    <w:p>
      <w:pPr>
        <w:snapToGrid w:val="0"/>
        <w:spacing w:before="0" w:beforeAutospacing="0" w:after="0" w:afterAutospacing="0" w:line="400" w:lineRule="exact"/>
        <w:jc w:val="center"/>
        <w:textAlignment w:val="baseline"/>
        <w:rPr>
          <w:rStyle w:val="13"/>
          <w:rFonts w:ascii="Times New Roman" w:hAnsi="Times New Roman" w:eastAsia="黑体"/>
          <w:b w:val="0"/>
          <w:bCs w:val="0"/>
          <w:i w:val="0"/>
          <w:caps w:val="0"/>
          <w:color w:val="000000"/>
          <w:spacing w:val="0"/>
          <w:w w:val="100"/>
          <w:kern w:val="2"/>
          <w:sz w:val="32"/>
          <w:szCs w:val="32"/>
          <w:lang w:val="en-US" w:eastAsia="zh-CN" w:bidi="ar-SA"/>
        </w:rPr>
      </w:pPr>
      <w:r>
        <w:rPr>
          <w:rStyle w:val="13"/>
          <w:rFonts w:hint="eastAsia" w:ascii="Times New Roman" w:hAnsi="Times New Roman" w:eastAsia="黑体"/>
          <w:b w:val="0"/>
          <w:bCs w:val="0"/>
          <w:i w:val="0"/>
          <w:caps w:val="0"/>
          <w:color w:val="000000"/>
          <w:spacing w:val="0"/>
          <w:w w:val="100"/>
          <w:kern w:val="2"/>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3"/>
          <w:rFonts w:ascii="Times New Roman" w:hAnsi="Times New Roman" w:eastAsia="黑体"/>
          <w:b w:val="0"/>
          <w:bCs w:val="0"/>
          <w:i w:val="0"/>
          <w:caps w:val="0"/>
          <w:color w:val="000000"/>
          <w:spacing w:val="0"/>
          <w:w w:val="100"/>
          <w:kern w:val="2"/>
          <w:sz w:val="32"/>
          <w:szCs w:val="32"/>
          <w:lang w:val="en-US" w:eastAsia="zh-CN" w:bidi="ar-SA"/>
        </w:rPr>
      </w:pPr>
      <w:r>
        <w:rPr>
          <w:rStyle w:val="13"/>
          <w:rFonts w:ascii="Times New Roman" w:hAnsi="Times New Roman" w:eastAsia="黑体"/>
          <w:b w:val="0"/>
          <w:bCs w:val="0"/>
          <w:i w:val="0"/>
          <w:caps w:val="0"/>
          <w:color w:val="000000"/>
          <w:spacing w:val="0"/>
          <w:w w:val="100"/>
          <w:kern w:val="2"/>
          <w:sz w:val="32"/>
          <w:szCs w:val="32"/>
          <w:lang w:val="en-US" w:eastAsia="zh-CN" w:bidi="ar-SA"/>
        </w:rPr>
        <w:t>第一章  总  则</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jc w:val="both"/>
        <w:textAlignment w:val="baseline"/>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第一条  </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为加强征地拆迁补偿安置工作，依法规范集体土地征收及房屋拆迁补偿安置行为，切实维护被征地农村集体经济组织及其成员（简称“被征拆人”）的合法权益，根据《中华人民共和国土地管理法》《中华人民共和国土地管理法实施条例》《湖南省实施〈中华人民共和国土地管理法〉办法》和《湖南省人民政府关于调整湖南省征地补偿标准的通知》</w:t>
      </w:r>
      <w:r>
        <w:rPr>
          <w:rStyle w:val="13"/>
          <w:rFonts w:hint="eastAsia" w:ascii="仿宋_GB2312" w:hAnsi="仿宋_GB2312" w:eastAsia="仿宋_GB2312" w:cs="仿宋_GB2312"/>
          <w:b w:val="0"/>
          <w:bCs w:val="0"/>
          <w:i w:val="0"/>
          <w:caps w:val="0"/>
          <w:color w:val="000000"/>
          <w:spacing w:val="8"/>
          <w:w w:val="95"/>
          <w:kern w:val="0"/>
          <w:sz w:val="32"/>
          <w:szCs w:val="32"/>
          <w:lang w:val="en-US" w:eastAsia="zh-CN" w:bidi="ar-SA"/>
        </w:rPr>
        <w:t>（湘</w:t>
      </w:r>
      <w:r>
        <w:rPr>
          <w:rStyle w:val="13"/>
          <w:rFonts w:hint="eastAsia" w:ascii="仿宋_GB2312" w:hAnsi="仿宋_GB2312" w:eastAsia="仿宋_GB2312" w:cs="仿宋_GB2312"/>
          <w:b w:val="0"/>
          <w:bCs w:val="0"/>
          <w:i w:val="0"/>
          <w:caps w:val="0"/>
          <w:color w:val="000000"/>
          <w:spacing w:val="6"/>
          <w:w w:val="95"/>
          <w:kern w:val="0"/>
          <w:sz w:val="32"/>
          <w:szCs w:val="32"/>
          <w:lang w:val="en-US" w:eastAsia="zh-CN" w:bidi="ar-SA"/>
        </w:rPr>
        <w:t>政</w:t>
      </w:r>
      <w:r>
        <w:rPr>
          <w:rStyle w:val="13"/>
          <w:rFonts w:hint="eastAsia" w:ascii="仿宋_GB2312" w:hAnsi="仿宋_GB2312" w:eastAsia="仿宋_GB2312" w:cs="仿宋_GB2312"/>
          <w:b w:val="0"/>
          <w:bCs w:val="0"/>
          <w:i w:val="0"/>
          <w:caps w:val="0"/>
          <w:color w:val="000000"/>
          <w:spacing w:val="8"/>
          <w:w w:val="95"/>
          <w:kern w:val="0"/>
          <w:sz w:val="32"/>
          <w:szCs w:val="32"/>
          <w:lang w:val="en-US" w:eastAsia="zh-CN" w:bidi="ar-SA"/>
        </w:rPr>
        <w:t>发</w:t>
      </w:r>
      <w:r>
        <w:rPr>
          <w:rStyle w:val="13"/>
          <w:rFonts w:hint="eastAsia" w:ascii="仿宋_GB2312" w:hAnsi="仿宋_GB2312" w:eastAsia="仿宋_GB2312" w:cs="仿宋_GB2312"/>
          <w:b w:val="0"/>
          <w:bCs w:val="0"/>
          <w:i w:val="0"/>
          <w:caps w:val="0"/>
          <w:color w:val="000000"/>
          <w:spacing w:val="6"/>
          <w:w w:val="95"/>
          <w:kern w:val="0"/>
          <w:sz w:val="32"/>
          <w:szCs w:val="32"/>
          <w:lang w:val="en-US" w:eastAsia="zh-CN" w:bidi="ar-SA"/>
        </w:rPr>
        <w:t>〔</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20</w:t>
      </w:r>
      <w:r>
        <w:rPr>
          <w:rStyle w:val="13"/>
          <w:rFonts w:hint="eastAsia" w:ascii="仿宋_GB2312" w:hAnsi="仿宋_GB2312" w:eastAsia="仿宋_GB2312" w:cs="仿宋_GB2312"/>
          <w:b w:val="0"/>
          <w:bCs w:val="0"/>
          <w:i w:val="0"/>
          <w:caps w:val="0"/>
          <w:color w:val="000000"/>
          <w:spacing w:val="-2"/>
          <w:w w:val="95"/>
          <w:kern w:val="0"/>
          <w:sz w:val="32"/>
          <w:szCs w:val="32"/>
          <w:lang w:val="en-US" w:eastAsia="zh-CN" w:bidi="ar-SA"/>
        </w:rPr>
        <w:t>2</w:t>
      </w:r>
      <w:r>
        <w:rPr>
          <w:rStyle w:val="13"/>
          <w:rFonts w:hint="eastAsia" w:ascii="仿宋_GB2312" w:hAnsi="仿宋_GB2312" w:eastAsia="仿宋_GB2312" w:cs="仿宋_GB2312"/>
          <w:b w:val="0"/>
          <w:bCs w:val="0"/>
          <w:i w:val="0"/>
          <w:caps w:val="0"/>
          <w:color w:val="000000"/>
          <w:spacing w:val="7"/>
          <w:w w:val="95"/>
          <w:kern w:val="0"/>
          <w:sz w:val="32"/>
          <w:szCs w:val="32"/>
          <w:lang w:val="en-US" w:eastAsia="zh-CN" w:bidi="ar-SA"/>
        </w:rPr>
        <w:t>1</w:t>
      </w:r>
      <w:r>
        <w:rPr>
          <w:rStyle w:val="13"/>
          <w:rFonts w:hint="eastAsia" w:ascii="仿宋_GB2312" w:hAnsi="仿宋_GB2312" w:eastAsia="仿宋_GB2312" w:cs="仿宋_GB2312"/>
          <w:b w:val="0"/>
          <w:bCs w:val="0"/>
          <w:i w:val="0"/>
          <w:caps w:val="0"/>
          <w:color w:val="000000"/>
          <w:spacing w:val="8"/>
          <w:w w:val="95"/>
          <w:kern w:val="0"/>
          <w:sz w:val="32"/>
          <w:szCs w:val="32"/>
          <w:lang w:val="en-US" w:eastAsia="zh-CN" w:bidi="ar-SA"/>
        </w:rPr>
        <w:t>〕</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3</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号</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《邵阳市人民政府关于印发〈邵阳市集体土地征收及房屋拆迁补偿安置办法〉的通知》（邵</w:t>
      </w:r>
      <w:r>
        <w:rPr>
          <w:rStyle w:val="13"/>
          <w:rFonts w:hint="eastAsia" w:hAnsi="仿宋_GB2312" w:cs="仿宋_GB2312"/>
          <w:b w:val="0"/>
          <w:bCs w:val="0"/>
          <w:i w:val="0"/>
          <w:caps w:val="0"/>
          <w:color w:val="000000"/>
          <w:spacing w:val="0"/>
          <w:w w:val="100"/>
          <w:kern w:val="2"/>
          <w:sz w:val="32"/>
          <w:szCs w:val="32"/>
          <w:lang w:val="en-US" w:eastAsia="zh-CN" w:bidi="ar-SA"/>
        </w:rPr>
        <w:t>阳</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市政发</w:t>
      </w:r>
      <w:r>
        <w:rPr>
          <w:rStyle w:val="13"/>
          <w:rFonts w:hint="eastAsia" w:ascii="仿宋_GB2312" w:hAnsi="仿宋_GB2312" w:eastAsia="仿宋_GB2312" w:cs="仿宋_GB2312"/>
          <w:b w:val="0"/>
          <w:bCs w:val="0"/>
          <w:i w:val="0"/>
          <w:caps w:val="0"/>
          <w:color w:val="000000"/>
          <w:spacing w:val="6"/>
          <w:w w:val="95"/>
          <w:kern w:val="0"/>
          <w:sz w:val="32"/>
          <w:szCs w:val="32"/>
          <w:lang w:val="en-US" w:eastAsia="zh-CN" w:bidi="ar-SA"/>
        </w:rPr>
        <w:t>〔</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20</w:t>
      </w:r>
      <w:r>
        <w:rPr>
          <w:rStyle w:val="13"/>
          <w:rFonts w:hint="eastAsia" w:ascii="仿宋_GB2312" w:hAnsi="仿宋_GB2312" w:eastAsia="仿宋_GB2312" w:cs="仿宋_GB2312"/>
          <w:b w:val="0"/>
          <w:bCs w:val="0"/>
          <w:i w:val="0"/>
          <w:caps w:val="0"/>
          <w:color w:val="000000"/>
          <w:spacing w:val="-2"/>
          <w:w w:val="95"/>
          <w:kern w:val="0"/>
          <w:sz w:val="32"/>
          <w:szCs w:val="32"/>
          <w:lang w:val="en-US" w:eastAsia="zh-CN" w:bidi="ar-SA"/>
        </w:rPr>
        <w:t>2</w:t>
      </w:r>
      <w:r>
        <w:rPr>
          <w:rStyle w:val="13"/>
          <w:rFonts w:hint="eastAsia" w:ascii="仿宋_GB2312" w:hAnsi="仿宋_GB2312" w:eastAsia="仿宋_GB2312" w:cs="仿宋_GB2312"/>
          <w:b w:val="0"/>
          <w:bCs w:val="0"/>
          <w:i w:val="0"/>
          <w:caps w:val="0"/>
          <w:color w:val="000000"/>
          <w:spacing w:val="7"/>
          <w:w w:val="95"/>
          <w:kern w:val="0"/>
          <w:sz w:val="32"/>
          <w:szCs w:val="32"/>
          <w:lang w:val="en-US" w:eastAsia="zh-CN" w:bidi="ar-SA"/>
        </w:rPr>
        <w:t>1</w:t>
      </w:r>
      <w:r>
        <w:rPr>
          <w:rStyle w:val="13"/>
          <w:rFonts w:hint="eastAsia" w:ascii="仿宋_GB2312" w:hAnsi="仿宋_GB2312" w:eastAsia="仿宋_GB2312" w:cs="仿宋_GB2312"/>
          <w:b w:val="0"/>
          <w:bCs w:val="0"/>
          <w:i w:val="0"/>
          <w:caps w:val="0"/>
          <w:color w:val="000000"/>
          <w:spacing w:val="8"/>
          <w:w w:val="95"/>
          <w:kern w:val="0"/>
          <w:sz w:val="32"/>
          <w:szCs w:val="32"/>
          <w:lang w:val="en-US" w:eastAsia="zh-CN" w:bidi="ar-SA"/>
        </w:rPr>
        <w:t>〕</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11号</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）等规</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定</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，结</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合</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本市</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实</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际，</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制</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定本</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办</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法。</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第二条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本市行政区域内集体土地征收和房屋拆迁以及其他地上附着物的补偿安置适用本办法。</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国</w:t>
      </w:r>
      <w:r>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t>务院、省、邵阳市人民政府对国防、公路、铁路、水利水电工程、通信等建设涉及土地和房屋征拆补偿安置另有规定的，从其规定。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第三条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市人民政府统一领导全市集体土地征收和房屋拆迁补偿安置工作。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市自然资源局统一管理和指导全市土地征收及房屋搬迁补偿安置工作，负责履行邵东市辖区（含邵东经济开发区管理委员会和邵东经济开发区城北片区管理办，以下简称“邵东两个园区”）土地征收及房屋拆迁补偿安置工作的行政主体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（一）贯彻执行督促落实国家和省、邵阳市和邵东市征地拆迁补偿安置法律、法规、规章、政策，适时提出征地拆迁补偿安置标准调整方案报市人民政府审定，完善征地拆迁工作规章制度。</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（二）提请市人民政府审批同意发布《征收土地预公告》《征地补偿安置方案公告》《征收土地公告》。</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（三）负责</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邵东市辖区</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（含邵东两个园区）项目征地拆迁经费概算，并通知征拆及安置实施主体执行。</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（四）会同财政、审计部门监督征地拆迁补偿资金使用情况。</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（五）组织召开《征收土地预公告》《征地补偿安置方案公告》听证会，负责征地拆迁行政复议、行政应诉等工作。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（六）负责组织委托具有资质的拆迁、拆除、评估、测绘等机构开展征地拆迁工作，对征地拆迁工作人员进行业务培训及管理。</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jc w:val="both"/>
        <w:textAlignment w:val="baseline"/>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第五条 </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 xml:space="preserve">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各乡镇人民政府、街道办事处（</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含邵东</w:t>
      </w:r>
      <w:r>
        <w:rPr>
          <w:rStyle w:val="13"/>
          <w:rFonts w:hint="eastAsia" w:hAnsi="仿宋_GB2312" w:cs="仿宋_GB2312"/>
          <w:b w:val="0"/>
          <w:bCs w:val="0"/>
          <w:i w:val="0"/>
          <w:caps w:val="0"/>
          <w:color w:val="000000"/>
          <w:spacing w:val="0"/>
          <w:w w:val="100"/>
          <w:kern w:val="0"/>
          <w:sz w:val="32"/>
          <w:szCs w:val="32"/>
          <w:lang w:val="en-US" w:eastAsia="zh-CN" w:bidi="ar-SA"/>
        </w:rPr>
        <w:t>两个园区</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皇帝岭林场）</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是</w:t>
      </w:r>
      <w:r>
        <w:rPr>
          <w:rStyle w:val="13"/>
          <w:rFonts w:hint="eastAsia" w:ascii="仿宋_GB2312" w:hAnsi="仿宋_GB2312" w:eastAsia="仿宋_GB2312" w:cs="仿宋_GB2312"/>
          <w:b w:val="0"/>
          <w:bCs w:val="0"/>
          <w:i w:val="0"/>
          <w:caps w:val="0"/>
          <w:color w:val="000000"/>
          <w:spacing w:val="1"/>
          <w:w w:val="95"/>
          <w:kern w:val="0"/>
          <w:sz w:val="32"/>
          <w:szCs w:val="32"/>
          <w:lang w:val="en-US" w:eastAsia="zh-CN" w:bidi="ar-SA"/>
        </w:rPr>
        <w:t>所</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辖行</w:t>
      </w:r>
      <w:r>
        <w:rPr>
          <w:rStyle w:val="13"/>
          <w:rFonts w:hint="eastAsia" w:ascii="仿宋_GB2312" w:hAnsi="仿宋_GB2312" w:eastAsia="仿宋_GB2312" w:cs="仿宋_GB2312"/>
          <w:b w:val="0"/>
          <w:bCs w:val="0"/>
          <w:i w:val="0"/>
          <w:caps w:val="0"/>
          <w:color w:val="000000"/>
          <w:spacing w:val="1"/>
          <w:w w:val="95"/>
          <w:kern w:val="0"/>
          <w:sz w:val="32"/>
          <w:szCs w:val="32"/>
          <w:lang w:val="en-US" w:eastAsia="zh-CN" w:bidi="ar-SA"/>
        </w:rPr>
        <w:t>政</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区域</w:t>
      </w:r>
      <w:r>
        <w:rPr>
          <w:rStyle w:val="13"/>
          <w:rFonts w:hint="eastAsia" w:ascii="仿宋_GB2312" w:hAnsi="仿宋_GB2312" w:eastAsia="仿宋_GB2312" w:cs="仿宋_GB2312"/>
          <w:b w:val="0"/>
          <w:bCs w:val="0"/>
          <w:i w:val="0"/>
          <w:caps w:val="0"/>
          <w:color w:val="000000"/>
          <w:spacing w:val="1"/>
          <w:w w:val="95"/>
          <w:kern w:val="0"/>
          <w:sz w:val="32"/>
          <w:szCs w:val="32"/>
          <w:lang w:val="en-US" w:eastAsia="zh-CN" w:bidi="ar-SA"/>
        </w:rPr>
        <w:t>内</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的土</w:t>
      </w:r>
      <w:r>
        <w:rPr>
          <w:rStyle w:val="13"/>
          <w:rFonts w:hint="eastAsia" w:ascii="仿宋_GB2312" w:hAnsi="仿宋_GB2312" w:eastAsia="仿宋_GB2312" w:cs="仿宋_GB2312"/>
          <w:b w:val="0"/>
          <w:bCs w:val="0"/>
          <w:i w:val="0"/>
          <w:caps w:val="0"/>
          <w:color w:val="000000"/>
          <w:spacing w:val="1"/>
          <w:w w:val="95"/>
          <w:kern w:val="0"/>
          <w:sz w:val="32"/>
          <w:szCs w:val="32"/>
          <w:lang w:val="en-US" w:eastAsia="zh-CN" w:bidi="ar-SA"/>
        </w:rPr>
        <w:t>地</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征收</w:t>
      </w:r>
      <w:r>
        <w:rPr>
          <w:rStyle w:val="13"/>
          <w:rFonts w:hint="eastAsia" w:ascii="仿宋_GB2312" w:hAnsi="仿宋_GB2312" w:eastAsia="仿宋_GB2312" w:cs="仿宋_GB2312"/>
          <w:b w:val="0"/>
          <w:bCs w:val="0"/>
          <w:i w:val="0"/>
          <w:caps w:val="0"/>
          <w:color w:val="000000"/>
          <w:spacing w:val="1"/>
          <w:w w:val="95"/>
          <w:kern w:val="0"/>
          <w:sz w:val="32"/>
          <w:szCs w:val="32"/>
          <w:lang w:val="en-US" w:eastAsia="zh-CN" w:bidi="ar-SA"/>
        </w:rPr>
        <w:t>及</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房屋</w:t>
      </w:r>
      <w:r>
        <w:rPr>
          <w:rStyle w:val="13"/>
          <w:rFonts w:hint="eastAsia" w:ascii="仿宋_GB2312" w:hAnsi="仿宋_GB2312" w:eastAsia="仿宋_GB2312" w:cs="仿宋_GB2312"/>
          <w:b w:val="0"/>
          <w:bCs w:val="0"/>
          <w:i w:val="0"/>
          <w:caps w:val="0"/>
          <w:color w:val="000000"/>
          <w:spacing w:val="1"/>
          <w:w w:val="95"/>
          <w:kern w:val="0"/>
          <w:sz w:val="32"/>
          <w:szCs w:val="32"/>
          <w:lang w:val="en-US" w:eastAsia="zh-CN" w:bidi="ar-SA"/>
        </w:rPr>
        <w:t>拆</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迁补</w:t>
      </w:r>
      <w:r>
        <w:rPr>
          <w:rStyle w:val="13"/>
          <w:rFonts w:hint="eastAsia" w:ascii="仿宋_GB2312" w:hAnsi="仿宋_GB2312" w:eastAsia="仿宋_GB2312" w:cs="仿宋_GB2312"/>
          <w:b w:val="0"/>
          <w:bCs w:val="0"/>
          <w:i w:val="0"/>
          <w:caps w:val="0"/>
          <w:color w:val="000000"/>
          <w:spacing w:val="1"/>
          <w:w w:val="95"/>
          <w:kern w:val="0"/>
          <w:sz w:val="32"/>
          <w:szCs w:val="32"/>
          <w:lang w:val="en-US" w:eastAsia="zh-CN" w:bidi="ar-SA"/>
        </w:rPr>
        <w:t>偿</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安置</w:t>
      </w:r>
      <w:r>
        <w:rPr>
          <w:rStyle w:val="13"/>
          <w:rFonts w:hint="eastAsia" w:ascii="仿宋_GB2312" w:hAnsi="仿宋_GB2312" w:eastAsia="仿宋_GB2312" w:cs="仿宋_GB2312"/>
          <w:b w:val="0"/>
          <w:bCs w:val="0"/>
          <w:i w:val="0"/>
          <w:caps w:val="0"/>
          <w:color w:val="000000"/>
          <w:spacing w:val="1"/>
          <w:w w:val="95"/>
          <w:kern w:val="0"/>
          <w:sz w:val="32"/>
          <w:szCs w:val="32"/>
          <w:lang w:val="en-US" w:eastAsia="zh-CN" w:bidi="ar-SA"/>
        </w:rPr>
        <w:t>工</w:t>
      </w:r>
      <w:r>
        <w:rPr>
          <w:rStyle w:val="13"/>
          <w:rFonts w:hint="eastAsia" w:ascii="仿宋_GB2312" w:hAnsi="仿宋_GB2312" w:eastAsia="仿宋_GB2312" w:cs="仿宋_GB2312"/>
          <w:b w:val="0"/>
          <w:bCs w:val="0"/>
          <w:i w:val="0"/>
          <w:caps w:val="0"/>
          <w:color w:val="000000"/>
          <w:spacing w:val="0"/>
          <w:w w:val="95"/>
          <w:kern w:val="0"/>
          <w:sz w:val="32"/>
          <w:szCs w:val="32"/>
          <w:lang w:val="en-US" w:eastAsia="zh-CN" w:bidi="ar-SA"/>
        </w:rPr>
        <w:t>作的实</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施</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主</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体</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（以下简称实施主体单位）</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负</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责落</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实</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土地</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征</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收及</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房</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屋拆</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迁</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补偿</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安</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置的</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具</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体工</w:t>
      </w:r>
      <w:r>
        <w:rPr>
          <w:rStyle w:val="13"/>
          <w:rFonts w:hint="eastAsia" w:ascii="仿宋_GB2312" w:hAnsi="仿宋_GB2312" w:eastAsia="仿宋_GB2312" w:cs="仿宋_GB2312"/>
          <w:b w:val="0"/>
          <w:bCs w:val="0"/>
          <w:i w:val="0"/>
          <w:caps w:val="0"/>
          <w:color w:val="000000"/>
          <w:spacing w:val="2"/>
          <w:w w:val="100"/>
          <w:kern w:val="0"/>
          <w:sz w:val="32"/>
          <w:szCs w:val="32"/>
          <w:lang w:val="en-US" w:eastAsia="zh-CN" w:bidi="ar-SA"/>
        </w:rPr>
        <w:t>作</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（一）</w:t>
      </w:r>
      <w:r>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t>宣传国家和省、邵阳市和邵东市征地拆迁补偿安置法律、法规、规章、政策。</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（二）组织实施本行政区域征地拆迁补偿安置工作，包括宣传动员、现场调查、张榜公示、实施补偿、搬家腾地、现场清表等，分项目制定工作方案。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（三）负责征地拆迁过程中的群众信访和维护稳定工作。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（四）负责组织自然资源等部门对本行政区域内的房屋、其他建（构）筑物的合法性以及安置人员资格进行认定。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（五）负责本行政区域开展征地拆迁补偿安置工作廉政责任制的落实。</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（六）监管本行政区域内被征地农村集体经济组织对征地补偿款的使用、分配及公开工作。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（七）对征地拆迁相关工作经费进行依法依规管理和分配。</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第六条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自然资源、住建、公安、发改、财政、人社、城管执法、司法、民政、水利、农业农村、林业、审计、卫健、市场监督、税务等部门应当按照各自职责，支持协助征收部门做好土地征收及房屋拆迁补偿安置工作。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第七条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遵循“依法征收、资金到位、安置先行、补偿规范”的原则。</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土地及房屋征收补偿安置资金应当在</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实施征收前足额拨付到实施主体单位在财政开设的合法资金账户，实行专款专用，统一划拨和监管（含集体补助计提部分的划拨等）。资金筹措到位后十五个工作日内，应当书面告知市自然资源局，发布《征收土地公告》和《征地补偿安置方案公告》。</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第八条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市人民政府将拟征地项目依法报省人民政府或国务院审批前，市自然资源局应在拟征地的乡镇（街道、场）和村（社区）、组发布《征收土地预公告》，将拟征地的用途、位置、补偿标准、安置方式和申请听证的权利等，告知被征拆人，并对拟征地范围内土地和房屋及其他地上附着物现状进行调查。被征拆人应配合调查，并对调查结果确认后签字或盖章。被征拆人拒不签字盖章的，可以采用照相、360°全景摄像等方式留存依据，并将调查结果予以公证，作为用地报批和实施征地拆迁补偿安置的依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第九条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市自然资源局在发布《征收土地预公告》的同时，应当书面通知住建、公安、城管执法、农业农村、林业、市场监督、税务等有关部门，自公告之日起，在拟征土地范围内暂停办理下列手续：</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（一）新批宅基地和其他建设用地；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（二）审批改建、扩建房屋，土地转让及土地登记发证；</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（三）办理户口的迁入，因出生、婚嫁、军人复退、大中专院校学生毕业及刑满释放等确需办理户口迁入的除外；</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（四）改变房屋与土地用途，或以拟被拆迁房屋为经营场所办理工商、税务登记手续；</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（五）特种养殖证；</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（六）其他有碍土地征收及房屋拆迁补偿安置工作的手续。</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暂停办理期限自拟征地公告发布之日起，一般不得超过12个月，但国家、省另有规定的除外。暂停办理期限内，除市人民政府批准外，其他任何部门擅自办理的相关手续，不得作为土地征收及房屋拆迁补偿安置的依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第十条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人或者其他权利人应当在征地公告规定的期限内，持土地权属证书、房屋产权证、他项权利证或其他证明材料到征收机构办理征地拆迁补偿登记手续。被征拆人或者其他权利人未如期办理征地拆迁补偿登记手续的，以征收机构的调查结果作为征地拆迁补偿依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第十一条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实施主体单位在实施房屋拆迁过程中，实行“三榜公示、两级审核”阳光拆迁工作机制：第一榜，公示被拆迁房屋及其户主家庭信息；第二榜，公示房屋拆迁补偿标准、补偿金额、安置方式；第三榜，公示房屋拆迁补偿（奖励）安置结果。在征地拆迁所属村、组张榜公示，每榜公示时间不少于5个工作日，公布监督电话，主动接受监督。第一级审核，在第二榜公示前完成，实施主体单位会同市自然资源局实施；第二级审核，在第二榜公示期满后进行，实施主体单位会同市自然资源局实施，由市自然资源局提请市人民政府审核。审核内容为被征收房屋信息、补偿标准、补偿金额、安置方式的真实性、合法性和公正性，切实维护被征拆人的合法权益。</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jc w:val="both"/>
        <w:textAlignment w:val="baseline"/>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第十二条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对</w:t>
      </w:r>
      <w:r>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t>在土地征收及房屋拆迁补偿安置工作中作出贡献的单位和个人，市人民政府按有关规定给予表彰和奖励。</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3"/>
          <w:rFonts w:hint="eastAsia" w:ascii="Times New Roman" w:hAnsi="Times New Roman" w:eastAsia="黑体" w:cstheme="minorBidi"/>
          <w:b w:val="0"/>
          <w:bCs w:val="0"/>
          <w:i w:val="0"/>
          <w:caps w:val="0"/>
          <w:color w:val="000000"/>
          <w:spacing w:val="0"/>
          <w:w w:val="100"/>
          <w:kern w:val="2"/>
          <w:sz w:val="32"/>
          <w:szCs w:val="32"/>
          <w:lang w:val="en-US" w:eastAsia="zh-CN" w:bidi="ar-SA"/>
        </w:rPr>
      </w:pPr>
      <w:r>
        <w:rPr>
          <w:rStyle w:val="13"/>
          <w:rFonts w:hint="eastAsia" w:ascii="Times New Roman" w:hAnsi="Times New Roman" w:eastAsia="黑体" w:cstheme="minorBidi"/>
          <w:b w:val="0"/>
          <w:bCs w:val="0"/>
          <w:i w:val="0"/>
          <w:caps w:val="0"/>
          <w:color w:val="000000"/>
          <w:spacing w:val="0"/>
          <w:w w:val="100"/>
          <w:kern w:val="2"/>
          <w:sz w:val="32"/>
          <w:szCs w:val="32"/>
          <w:lang w:val="en-US" w:eastAsia="zh-CN" w:bidi="ar-SA"/>
        </w:rPr>
        <w:t>第二章  土地征收补偿</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3"/>
        <w:jc w:val="both"/>
        <w:textAlignment w:val="baseline"/>
        <w:rPr>
          <w:rStyle w:val="13"/>
          <w:rFonts w:hint="eastAsia" w:ascii="仿宋_GB2312" w:hAnsi="仿宋_GB2312" w:eastAsia="仿宋_GB2312" w:cs="仿宋_GB2312"/>
          <w:b w:val="0"/>
          <w:bCs w:val="0"/>
          <w:i w:val="0"/>
          <w:caps w:val="0"/>
          <w:color w:val="000000"/>
          <w:spacing w:val="-6"/>
          <w:w w:val="100"/>
          <w:kern w:val="0"/>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第十三条</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 xml:space="preserve">  征</w:t>
      </w:r>
      <w:r>
        <w:rPr>
          <w:rStyle w:val="13"/>
          <w:rFonts w:hint="eastAsia" w:ascii="仿宋_GB2312" w:hAnsi="仿宋_GB2312" w:eastAsia="仿宋_GB2312" w:cs="仿宋_GB2312"/>
          <w:b w:val="0"/>
          <w:bCs w:val="0"/>
          <w:i w:val="0"/>
          <w:caps w:val="0"/>
          <w:color w:val="000000"/>
          <w:spacing w:val="-6"/>
          <w:w w:val="100"/>
          <w:kern w:val="0"/>
          <w:sz w:val="32"/>
          <w:szCs w:val="32"/>
          <w:lang w:val="en-US" w:eastAsia="zh-CN" w:bidi="ar-SA"/>
        </w:rPr>
        <w:t>地补偿按照</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《湖南省人民政府关于调整湖南省征地补偿标准的通知》（湘政发〔2021〕3号）、《邵东市人民政府关于调整湖南省征地补偿标准的通知》（邵东政发〔2021〕7号）</w:t>
      </w:r>
      <w:r>
        <w:rPr>
          <w:rStyle w:val="13"/>
          <w:rFonts w:hint="eastAsia" w:ascii="仿宋_GB2312" w:hAnsi="仿宋_GB2312" w:eastAsia="仿宋_GB2312" w:cs="仿宋_GB2312"/>
          <w:b w:val="0"/>
          <w:bCs w:val="0"/>
          <w:i w:val="0"/>
          <w:caps w:val="0"/>
          <w:color w:val="000000"/>
          <w:spacing w:val="-6"/>
          <w:w w:val="100"/>
          <w:kern w:val="0"/>
          <w:sz w:val="32"/>
          <w:szCs w:val="32"/>
          <w:lang w:val="en-US" w:eastAsia="zh-CN" w:bidi="ar-SA"/>
        </w:rPr>
        <w:t>执行（见附件1）。征收土地补偿面积按照水平投影面积计算。</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5"/>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第十四条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专</w:t>
      </w:r>
      <w:r>
        <w:rPr>
          <w:rStyle w:val="13"/>
          <w:rFonts w:hint="eastAsia" w:ascii="仿宋_GB2312" w:hAnsi="仿宋_GB2312" w:eastAsia="仿宋_GB2312" w:cs="仿宋_GB2312"/>
          <w:b w:val="0"/>
          <w:bCs w:val="0"/>
          <w:i w:val="0"/>
          <w:caps w:val="0"/>
          <w:color w:val="000000"/>
          <w:spacing w:val="-5"/>
          <w:w w:val="100"/>
          <w:kern w:val="2"/>
          <w:sz w:val="32"/>
          <w:szCs w:val="32"/>
          <w:lang w:val="en-US" w:eastAsia="zh-CN" w:bidi="ar-SA"/>
        </w:rPr>
        <w:t>业菜地、专业鱼塘是指经邵东市级（含</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邵东市级</w:t>
      </w:r>
      <w:r>
        <w:rPr>
          <w:rStyle w:val="13"/>
          <w:rFonts w:hint="eastAsia" w:ascii="仿宋_GB2312" w:hAnsi="仿宋_GB2312" w:eastAsia="仿宋_GB2312" w:cs="仿宋_GB2312"/>
          <w:b w:val="0"/>
          <w:bCs w:val="0"/>
          <w:i w:val="0"/>
          <w:caps w:val="0"/>
          <w:color w:val="000000"/>
          <w:spacing w:val="-5"/>
          <w:w w:val="100"/>
          <w:kern w:val="2"/>
          <w:sz w:val="32"/>
          <w:szCs w:val="32"/>
          <w:lang w:val="en-US" w:eastAsia="zh-CN" w:bidi="ar-SA"/>
        </w:rPr>
        <w:t>）以上人民政府或农业行政主管部门批准，且常年种植蔬菜或养殖鱼类水产并有相关配套设施的生产基地，青苗补偿费按附件2计算补偿。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第十五条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耕地青苗补偿费按附件3计算补偿。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第十六条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果树、经济林类青苗补偿费按附件4计算补偿。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第十七条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成片林、疏林、零星树木、竹类及经农林部门批准的苗木苗圃青苗补偿费按附件5计算补偿。水田、旱土上种植的苗木，如未经自然资源、农林部门批准，不属专业苗木种植地，按原地类青苗补偿标准计算补偿。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第十八条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茶叶青苗补偿费按附件6计算补偿。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第十九条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药材青苗补偿费按附件7计算补偿。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被征收土地上房屋拆迁的室内装修按附件8计算补偿。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第二十一条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土地征收补偿一般依据勘测技术报告的地类面积实施补偿。经有关职能部门批准的按批准地类实施补偿。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征地红线范围内地类现状与勘测技术报告不符的，经实地调查丈量后，由实施主体单位负责组织被征地集体经济组织、市自然资源局、业主单位共同确认调查结果。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第二十二条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征收土地范围内的坟墓需要迁移的，由市自然资源局发布迁坟公告，由实施主体单位按附件9给予迁坟补助。超过迁坟公告规定期限未迁的坟墓，按无主坟处理。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第二十三条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地补偿费及青苗补偿费统一支付给被征地集体经济组织，征地补偿费由集体经济组织依法依规分配，青苗补偿费由集体经济组织分配到户。对分配有争议的，由上一级人民政府协调处理。补偿后，集体经济组织及土地使用人应当在规定的期限内对青苗及附属设施予以处理；逾期未处理的，由征地单位处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第二十四条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被征地集体经济组织应当将征地补偿费收支、分</w:t>
      </w:r>
      <w:r>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t>配、使用状况纳入村务公开的内容。实施主体单位应对被征地集体经济组织征地补偿费的使用情况进行监督管理。</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3"/>
          <w:rFonts w:hint="eastAsia" w:ascii="Times New Roman" w:hAnsi="Times New Roman" w:eastAsia="黑体" w:cstheme="minorBidi"/>
          <w:b w:val="0"/>
          <w:bCs w:val="0"/>
          <w:i w:val="0"/>
          <w:caps w:val="0"/>
          <w:color w:val="000000"/>
          <w:spacing w:val="0"/>
          <w:w w:val="100"/>
          <w:kern w:val="2"/>
          <w:sz w:val="32"/>
          <w:szCs w:val="32"/>
          <w:lang w:val="en-US" w:eastAsia="zh-CN" w:bidi="ar-SA"/>
        </w:rPr>
      </w:pPr>
      <w:r>
        <w:rPr>
          <w:rStyle w:val="13"/>
          <w:rFonts w:hint="eastAsia" w:ascii="Times New Roman" w:hAnsi="Times New Roman" w:eastAsia="黑体" w:cstheme="minorBidi"/>
          <w:b w:val="0"/>
          <w:bCs w:val="0"/>
          <w:i w:val="0"/>
          <w:caps w:val="0"/>
          <w:color w:val="000000"/>
          <w:spacing w:val="0"/>
          <w:w w:val="100"/>
          <w:kern w:val="2"/>
          <w:sz w:val="32"/>
          <w:szCs w:val="32"/>
          <w:lang w:val="en-US" w:eastAsia="zh-CN" w:bidi="ar-SA"/>
        </w:rPr>
        <w:t>第三章  房屋拆迁补偿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第二十五条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w:t>
      </w:r>
      <w:r>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t>市人民政府</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应组织自然资源等部门按下列规定对被拆迁房屋进行合法性认定，并予以公示，公示时间不少于5个工作日。</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11"/>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（一）具</w:t>
      </w:r>
      <w:r>
        <w:rPr>
          <w:rStyle w:val="13"/>
          <w:rFonts w:hint="eastAsia" w:ascii="仿宋_GB2312" w:hAnsi="仿宋_GB2312" w:eastAsia="仿宋_GB2312" w:cs="仿宋_GB2312"/>
          <w:b w:val="0"/>
          <w:bCs w:val="0"/>
          <w:i w:val="0"/>
          <w:caps w:val="0"/>
          <w:color w:val="000000"/>
          <w:spacing w:val="-11"/>
          <w:w w:val="100"/>
          <w:kern w:val="2"/>
          <w:sz w:val="32"/>
          <w:szCs w:val="32"/>
          <w:lang w:val="en-US" w:eastAsia="zh-CN" w:bidi="ar-SA"/>
        </w:rPr>
        <w:t>有不动产权证的房屋，按不动产登记的面积进行认定。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（二）具有集体土地使用权证的房屋，按集体土地使用权证登记面积进行认定。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（三）具有建设用地批准书或其他合法权属来源的建房审批手续的房屋，按其审批面积进行认定。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对房屋合法性认定结果有异议的，被征拆人应当在公示之日起5个工作日内向实施主体单位申请核查，实施主体单位组织相关部门调查核实后予以认定。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第二十六条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拆迁房屋以合法性认定公示结果为依据，按房屋结构等级标准（见附件10）进行补偿，房屋补偿标准（见附件11、12），分散迁建安置另给予宅基地调换、水、电、路、超深基础等补助（见附件13）。被拆迁房屋补偿到位后，由实施主体单位组织拆除，拆除费用列入征拆成本。房屋残值已包含在补偿费之内，不再另行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第二十七条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收非本集体经济组织成员的房屋，其房屋位于城市规划圈内的，按房屋补偿标准补偿（见附件11），按合法房屋权证每证一人给予自购商品房补助费；其房屋位于城市规划圈外的，按房屋补偿标准补偿（见附件12），并另行支付宅基地使用权补偿费，补偿后不再安排宅基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第二十八条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有下列情形之一的，不予补偿：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（一）超过批准使用期限的临时建（构）筑物、有关批准文书中注明因国家建设需要应无条件拆除的临时建（构）筑物。</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（二）拆旧建新房屋的批准文书中，明确要求应当拆除而未拆除的房屋；</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（三）被认定为违法违章建（构）筑物。</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14"/>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第二十九条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拆</w:t>
      </w:r>
      <w:r>
        <w:rPr>
          <w:rStyle w:val="13"/>
          <w:rFonts w:hint="eastAsia" w:ascii="仿宋_GB2312" w:hAnsi="仿宋_GB2312" w:eastAsia="仿宋_GB2312" w:cs="仿宋_GB2312"/>
          <w:b w:val="0"/>
          <w:bCs w:val="0"/>
          <w:i w:val="0"/>
          <w:caps w:val="0"/>
          <w:color w:val="000000"/>
          <w:spacing w:val="-14"/>
          <w:w w:val="100"/>
          <w:kern w:val="2"/>
          <w:sz w:val="32"/>
          <w:szCs w:val="32"/>
          <w:lang w:val="en-US" w:eastAsia="zh-CN" w:bidi="ar-SA"/>
        </w:rPr>
        <w:t>迁合</w:t>
      </w:r>
      <w:r>
        <w:rPr>
          <w:rStyle w:val="13"/>
          <w:rFonts w:hint="eastAsia" w:ascii="仿宋_GB2312" w:hAnsi="仿宋_GB2312" w:eastAsia="仿宋_GB2312" w:cs="仿宋_GB2312"/>
          <w:b w:val="0"/>
          <w:bCs w:val="0"/>
          <w:i w:val="0"/>
          <w:caps w:val="0"/>
          <w:color w:val="000000"/>
          <w:spacing w:val="-11"/>
          <w:w w:val="100"/>
          <w:kern w:val="2"/>
          <w:sz w:val="32"/>
          <w:szCs w:val="32"/>
          <w:lang w:val="en-US" w:eastAsia="zh-CN" w:bidi="ar-SA"/>
        </w:rPr>
        <w:t>法住宅兼经营、生产房屋按下列规定补</w:t>
      </w:r>
      <w:r>
        <w:rPr>
          <w:rStyle w:val="13"/>
          <w:rFonts w:hint="eastAsia" w:ascii="仿宋_GB2312" w:hAnsi="仿宋_GB2312" w:eastAsia="仿宋_GB2312" w:cs="仿宋_GB2312"/>
          <w:b w:val="0"/>
          <w:bCs w:val="0"/>
          <w:i w:val="0"/>
          <w:caps w:val="0"/>
          <w:color w:val="000000"/>
          <w:spacing w:val="-14"/>
          <w:w w:val="100"/>
          <w:kern w:val="2"/>
          <w:sz w:val="32"/>
          <w:szCs w:val="32"/>
          <w:lang w:val="en-US" w:eastAsia="zh-CN" w:bidi="ar-SA"/>
        </w:rPr>
        <w:t>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（一）</w:t>
      </w:r>
      <w:r>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t>有工商营业执照、拆迁前6个月纳税证明的合法住宅房屋兼营业用房，其营业用房按照同类房屋结构补偿标准增加60%的补偿，不再安置经营场地。上述二项必备手续每缺少一项，扣减增加补偿部分的1/2。商品和营业用具自行处理，不再另行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二）有工商营业执照、拆迁前6个月纳税证明的合法住宅房屋兼生产用房，其生产用房按照同类房屋结构补偿标准增加45%的补偿（包括停产停业损失及设备拆除、安装、搬运等所需要的全部费用），不再安置生产场地。上述二项必备手续每缺少一项，扣减增加补偿部分的1/2。产品和生产用具自行处理，不再另行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u w:val="single" w:color="000000"/>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（三）合法住宅房屋兼营业、生产用房的，按实际经营面积计算。</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（四）依法批准的畜禽养殖用房，按同类房屋结构等级住宅房屋结构补偿标准（不含宅基地使用权补偿费、室内装修补偿费和奖励）增加20%补偿，不再安置养殖场地。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第三十条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收经依法批准土地用途为工商企业的非住宅房屋，有工商营业执照、拆迁前6个月纳税证明的，按同类房屋结构等级房屋补偿标准（不给宅基地使用权补偿费）的补偿总额增加60%的补偿（包括停产停业损失及设备拆除、安装、搬运等所需要的全部费用），不再安置生产经营场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征收学校、幼儿园、医院、寺庙、教堂等公益事业用房，参照前款予以补偿。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第三十一条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被征拆人的过渡费和搬家费按应安置人员计算（见附件14）。</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安置房安置过渡费计算时间为18个月（含交付期12个月，装修6个月），集中迁建安置过渡费计算时间为24个月（含交付期12个月，建房和装修12个月）。如因安置责任单位原因，安置房或集中迁建安置地超过交付过渡期限的，安置责任单位应与被征拆人重新约定过渡期限，按双倍支付过渡费。</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分散迁建安置过渡费计算时间为12个月。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货币安置过渡费计算时间为12个月。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安置房安置和迁建安置，计算两次搬家费。</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货币安置计算一次搬家费。</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征拆非住宅房屋不计算过渡费及搬家费。</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第三十二条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人在规定期限内签订房屋拆迁补偿安置协议的，按被拆迁房屋合法建筑面积给予奖励。按签约期限分三个阶段计奖，第一阶段签约奖励每平方米300元；第二阶段签约奖励每平方米200元；第三阶段签约奖励每平方米100元，逾期不予奖励。在规定期限内搬家腾地的，按被拆迁房屋合法建筑面积给予每平方米200元奖励，逾期未搬家腾地的，不予奖励。</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被征拆人选择货币安置方式并在规定期限签订房屋拆迁补偿安置协议的，按合法正房建筑面积奖励每平方米1000元。</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default"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2"/>
          <w:sz w:val="32"/>
          <w:szCs w:val="32"/>
          <w:lang w:val="en-US" w:eastAsia="zh-CN" w:bidi="ar-SA"/>
        </w:rPr>
        <w:t>第三十三条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被征拆房屋室外生产、生活设施，依据合法房屋现场清点实物量，按附件8计算补偿。</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3"/>
          <w:rFonts w:hint="eastAsia" w:ascii="Times New Roman" w:hAnsi="Times New Roman" w:eastAsia="黑体" w:cstheme="minorBidi"/>
          <w:b w:val="0"/>
          <w:bCs w:val="0"/>
          <w:i w:val="0"/>
          <w:caps w:val="0"/>
          <w:color w:val="000000"/>
          <w:spacing w:val="0"/>
          <w:w w:val="100"/>
          <w:kern w:val="2"/>
          <w:sz w:val="32"/>
          <w:szCs w:val="32"/>
          <w:lang w:val="en-US" w:eastAsia="zh-CN" w:bidi="ar-SA"/>
        </w:rPr>
      </w:pPr>
      <w:r>
        <w:rPr>
          <w:rStyle w:val="13"/>
          <w:rFonts w:hint="eastAsia" w:ascii="Times New Roman" w:hAnsi="Times New Roman" w:eastAsia="黑体" w:cstheme="minorBidi"/>
          <w:b w:val="0"/>
          <w:bCs w:val="0"/>
          <w:i w:val="0"/>
          <w:caps w:val="0"/>
          <w:color w:val="000000"/>
          <w:spacing w:val="0"/>
          <w:w w:val="100"/>
          <w:kern w:val="2"/>
          <w:sz w:val="32"/>
          <w:szCs w:val="32"/>
          <w:lang w:val="en-US" w:eastAsia="zh-CN" w:bidi="ar-SA"/>
        </w:rPr>
        <w:t>第四章  征地及房屋拆迁安置保障</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第三十四条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被征地农民的社会保障，按照邵东市被征地农民社会保障相关政策规定执行。</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第三十五条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房屋拆迁安置按照有关规定，采用货币安置、安置房安置和迁建安置。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货币安置是指对被征拆人的合法房屋按照本办法确定的房屋征收补偿标准征收后，由其自行购买商品房。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安置房安置是指对被征拆人的合法房屋按照本办法确定的房屋征收补偿标准征收后，由其选择购买政府提供的安置房，安置房价格由政府确定。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迁建安置是指对被征拆人的合法房屋按本办法确定的房屋征收补偿标准征收后，另行安排其宅基地建房。由征收单位统一集中安排宅基地的称集中迁建安置，由被征拆人依法申请宅基地的称分散迁建安置。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《邵东市国土空间土地利用总体规划》确定的城市规划范围内的集体土地上的房屋拆迁，实行货币安置、安置房安置。《邵东市国土空间土地利用总体规划》确定的城市规划范围外的房屋拆迁，实行迁建安置。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具体安置方式由实施主体单位根据情况在制定房屋拆迁补偿安置实施细则时确定。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新建安置房的用地应在实施房屋拆迁前依法批准，由实施主体单位负责统一组织建设。</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补偿安置后，被征拆人及家庭人员再另行申请宅基地的，不予批准。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第三十六条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实施主体单位组织公安、自然资源部门及乡镇（街道、场）村（社区）等对被安置人员资格按下列规定进行审定，并张榜公示，公示期为5个工作日，应安置人员认定以公示结果为准。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对安置人员资格审定结果有异议的，被征拆人应当在公示期内向实施主体单位申请复核。实施主体单位应组织相关部门调查核实。</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（一）安置人员范围：</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1.合法房屋产权人及户籍在册家庭人员，且享有本村集体经济组织成员权利并履行义务的。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2.本集体经济组织成员，现正在部队服兵役的士兵（不包括军官和12年以上的士官）、正在大中专院校就读的学生、正在服刑的人员。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3.持证人及持证人子女有下列情形之一的，可增加一个安置人员指标：</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（1）属于独生子女的；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（2）已婚夫妇未生育的；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（3）达到法定婚龄未婚的。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4.法律法规和政策规定应予安置的其他人员。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（二）享有安置人员资格以征收土地预公告发布日期为认定截止日。</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（三）有下列情形之一的，不计入安置人员范围：</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1.在过往房屋拆迁中已补偿安置的人员；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2.未享有本村集体经济组织成员权利并履行义务的（含寄住、寄养、寄读、空挂户籍、继子女等人员）;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3.发布征收土地公告后突击迁入人员；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4.已死亡但未在公安部门注销的人员；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5.国家机关、事业单位、国有企业单位工作人员（不含临聘人员）。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6.非本集体经济组织人员（含城镇居民）通过继承等途径在征收土地范围内取得合法房屋的所有权人，或本集体经济组织成员通过继承等方式在征收土地范围内取得合法房屋，但在征收区域外另有合法房屋的所有权人。</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第三十七条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被征拆人有多处合法房屋且不在同一宗征地范围内，其家庭人员只能享受一次安置。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第三十八条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对被征拆人自购商品房安置和购买政府建设或采购的安置房安置的给予购房补助。自购商品房补助标准为符合安置条件的被征拆人按50m</w:t>
      </w:r>
      <w:r>
        <w:rPr>
          <w:rStyle w:val="13"/>
          <w:rFonts w:hint="eastAsia" w:ascii="仿宋_GB2312" w:hAnsi="仿宋_GB2312" w:eastAsia="仿宋_GB2312" w:cs="仿宋_GB2312"/>
          <w:b w:val="0"/>
          <w:bCs w:val="0"/>
          <w:i w:val="0"/>
          <w:caps w:val="0"/>
          <w:color w:val="000000"/>
          <w:spacing w:val="0"/>
          <w:w w:val="100"/>
          <w:kern w:val="2"/>
          <w:sz w:val="32"/>
          <w:szCs w:val="32"/>
          <w:vertAlign w:val="superscript"/>
          <w:lang w:val="en-US" w:eastAsia="zh-CN" w:bidi="ar-SA"/>
        </w:rPr>
        <w:t>2</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/人×2500元/m</w:t>
      </w:r>
      <w:r>
        <w:rPr>
          <w:rStyle w:val="13"/>
          <w:rFonts w:hint="eastAsia" w:ascii="仿宋_GB2312" w:hAnsi="仿宋_GB2312" w:eastAsia="仿宋_GB2312" w:cs="仿宋_GB2312"/>
          <w:b w:val="0"/>
          <w:bCs w:val="0"/>
          <w:i w:val="0"/>
          <w:caps w:val="0"/>
          <w:color w:val="000000"/>
          <w:spacing w:val="0"/>
          <w:w w:val="100"/>
          <w:kern w:val="2"/>
          <w:sz w:val="32"/>
          <w:szCs w:val="32"/>
          <w:vertAlign w:val="superscript"/>
          <w:lang w:val="en-US" w:eastAsia="zh-CN" w:bidi="ar-SA"/>
        </w:rPr>
        <w:t>2</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计算，如市场普通商品房价格出现较大波动，将依据住建部门公布的普通商品房均价信息对自购商品房补助标准适时进行相应调整。购买政府安置房补助标准为符合安置条件的被征拆人按50m</w:t>
      </w:r>
      <w:r>
        <w:rPr>
          <w:rStyle w:val="13"/>
          <w:rFonts w:hint="eastAsia" w:ascii="仿宋_GB2312" w:hAnsi="仿宋_GB2312" w:eastAsia="仿宋_GB2312" w:cs="仿宋_GB2312"/>
          <w:b w:val="0"/>
          <w:bCs w:val="0"/>
          <w:i w:val="0"/>
          <w:caps w:val="0"/>
          <w:color w:val="000000"/>
          <w:spacing w:val="0"/>
          <w:w w:val="100"/>
          <w:kern w:val="2"/>
          <w:sz w:val="32"/>
          <w:szCs w:val="32"/>
          <w:vertAlign w:val="superscript"/>
          <w:lang w:val="en-US" w:eastAsia="zh-CN" w:bidi="ar-SA"/>
        </w:rPr>
        <w:t>2</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/人×1500元/m</w:t>
      </w:r>
      <w:r>
        <w:rPr>
          <w:rStyle w:val="13"/>
          <w:rFonts w:hint="eastAsia" w:ascii="仿宋_GB2312" w:hAnsi="仿宋_GB2312" w:eastAsia="仿宋_GB2312" w:cs="仿宋_GB2312"/>
          <w:b w:val="0"/>
          <w:bCs w:val="0"/>
          <w:i w:val="0"/>
          <w:caps w:val="0"/>
          <w:color w:val="000000"/>
          <w:spacing w:val="0"/>
          <w:w w:val="100"/>
          <w:kern w:val="2"/>
          <w:sz w:val="32"/>
          <w:szCs w:val="32"/>
          <w:vertAlign w:val="superscript"/>
          <w:lang w:val="en-US" w:eastAsia="zh-CN" w:bidi="ar-SA"/>
        </w:rPr>
        <w:t>2</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计算。被征拆人选择货币安置方式自购商品房的，购房补助直接发放到户；选择安置房安置方式购买政府安置房的，购房补助在购买安置房款中结算抵扣。</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第三十九条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实行迁建安置的房屋，原则上采取分散迁建安置。分散迁建安置用地由村级组织负责调整。</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（一）分散迁建安置：在符合土地利用总体规划和村庄建设规划的前提下，被征拆人按照农村村民住宅建设用地有关规定申请宅基地，办理相关手续后在规定的过渡期限内自行建房。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二）同一被征拆人有多处房屋被征拆的，只安排一处安置地，被征拆房屋合法占地超出安置地面积的部分，另行支付宅基地使用权补偿费。同一被征拆人有多处房屋，其中一处被征拆，他处房屋已达到规定用地面积的，不安排安置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符合安置条件的孤儿、“五保户”、一至五级残疾人，经实施主体单位审核确定并予以公示后，给予每人不超过30000元的困难补助。</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3"/>
          <w:rFonts w:hint="eastAsia" w:ascii="Times New Roman" w:hAnsi="Times New Roman" w:eastAsia="黑体" w:cstheme="minorBidi"/>
          <w:b w:val="0"/>
          <w:bCs w:val="0"/>
          <w:i w:val="0"/>
          <w:caps w:val="0"/>
          <w:color w:val="000000"/>
          <w:spacing w:val="0"/>
          <w:w w:val="100"/>
          <w:kern w:val="2"/>
          <w:sz w:val="32"/>
          <w:szCs w:val="32"/>
          <w:lang w:val="en-US" w:eastAsia="zh-CN" w:bidi="ar-SA"/>
        </w:rPr>
      </w:pPr>
      <w:r>
        <w:rPr>
          <w:rStyle w:val="13"/>
          <w:rFonts w:hint="eastAsia" w:ascii="Times New Roman" w:hAnsi="Times New Roman" w:eastAsia="黑体" w:cstheme="minorBidi"/>
          <w:b w:val="0"/>
          <w:bCs w:val="0"/>
          <w:i w:val="0"/>
          <w:caps w:val="0"/>
          <w:color w:val="000000"/>
          <w:spacing w:val="0"/>
          <w:w w:val="100"/>
          <w:kern w:val="2"/>
          <w:sz w:val="32"/>
          <w:szCs w:val="32"/>
          <w:lang w:val="en-US" w:eastAsia="zh-CN" w:bidi="ar-SA"/>
        </w:rPr>
        <w:t>第五章  法律责任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第四十一条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评估机构在征拆房屋、附属物等评估中违反规定、损害当事人利益的，依法给予相应处罚；造成损失的，承担赔偿责任；构成犯罪的，依法追究刑事责任。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第四十二条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集体经济组织和个人提供虚假、伪造的房屋、土地、户籍、土地承包合同等证明材料或冒名顶替骗取征收补偿安置，煽动、组织参与闹事，谩骂、殴打征拆工作人员，无理阻碍征地及房屋拆迁补偿安置工作，影响社会稳定和依法执行公务的，依法追究民事、行政、刑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第四十三条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在征收土地预公告发布后的暂停办理手续期间、有关部门擅自办理相关手续造成损失的，实施主体单位对所辖行政区域内违法建设行为制止和查处不力、严重影响国家重点工程建设和公益事业建设的，依法追究责任单位和责任人的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第四十四条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无正当理由未能按期交付安置房、安置地的，依法追究责任单位和责任人的责任。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第四十五条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未经市人民政府批准，擅自提高或降低补偿安置标准的，依法追究相关人员责任。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第四十六条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从事征拆工作的人员，在征拆工作中以权谋私、徇私枉法、收受贿赂的，依法给予党纪政务处分；构成犯罪的，移送司法机关依法追究刑事责任。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第四十七条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贪</w:t>
      </w:r>
      <w:r>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t>污、挪用、截留、私分补偿安置费用及有关土地规费的，由有关主管部门责令限期归还，对相关责任人员依法给予党纪政务处分；构成犯罪的，移送司法机关依法追究刑事责任。</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157" w:afterLines="50" w:afterAutospacing="0" w:line="560" w:lineRule="exact"/>
        <w:jc w:val="center"/>
        <w:textAlignment w:val="baseline"/>
        <w:rPr>
          <w:rStyle w:val="13"/>
          <w:rFonts w:hint="eastAsia" w:ascii="Times New Roman" w:hAnsi="Times New Roman" w:eastAsia="黑体" w:cstheme="minorBidi"/>
          <w:b w:val="0"/>
          <w:bCs w:val="0"/>
          <w:i w:val="0"/>
          <w:caps w:val="0"/>
          <w:color w:val="000000"/>
          <w:spacing w:val="0"/>
          <w:w w:val="100"/>
          <w:kern w:val="2"/>
          <w:sz w:val="32"/>
          <w:szCs w:val="32"/>
          <w:lang w:val="en-US" w:eastAsia="zh-CN" w:bidi="ar-SA"/>
        </w:rPr>
      </w:pPr>
      <w:r>
        <w:rPr>
          <w:rStyle w:val="13"/>
          <w:rFonts w:hint="eastAsia" w:ascii="Times New Roman" w:hAnsi="Times New Roman" w:eastAsia="黑体" w:cstheme="minorBidi"/>
          <w:b w:val="0"/>
          <w:bCs w:val="0"/>
          <w:i w:val="0"/>
          <w:caps w:val="0"/>
          <w:color w:val="000000"/>
          <w:spacing w:val="0"/>
          <w:w w:val="100"/>
          <w:kern w:val="2"/>
          <w:sz w:val="32"/>
          <w:szCs w:val="32"/>
          <w:lang w:val="en-US" w:eastAsia="zh-CN" w:bidi="ar-SA"/>
        </w:rPr>
        <w:t>第六章  附  则</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第四十八条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对被征拆人补偿安置后，征地拆迁实施部门应收缴土地使用权证，办理注销登记；被征拆人拒不上缴的，由市自然资源局公告注销。</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第四十九条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征地拆迁补偿安置费全额支付到位后，被征拆人应当在规定期限内搬迁腾地。拒不腾地的，由市自然资源局依法责令限期腾地。逾期不执行的，申请人民法院强制执行。</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在规定期限内未领取土地和房屋征拆补偿安置费，应当以被征拆人的名义专户储存。</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被征拆人不能与征收部门达成房屋拆迁补偿安置协议的，由市自然资源局进行调解，调解不成的由邵东市级以上人民政府依法作出行政处理决定。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被征拆人对行政处理决定不服的，可以自行政处理决定书送达之日起六十日内向作出该行政处理决定的上级人民政府申请行政复议，或者六个月内向人民法院提起行政诉讼。行政复议或者行政诉讼期间不影响房屋征拆补偿安置工作的实施。</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第五十一条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被征拆人对补偿项目和数额有异议的，应当在收到补偿结果之日起15日内向市自然资源局书面提出核实申请。逾期提出的，按相关法律法规处理。</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第五十二条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实施主体单位</w:t>
      </w:r>
      <w:r>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t>应当建立所辖行政区域内村级集体经济组织成员台账</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及被征拆人补偿安置情况的电子</w:t>
      </w:r>
      <w:r>
        <w:rPr>
          <w:rStyle w:val="13"/>
          <w:rFonts w:hint="eastAsia" w:ascii="仿宋_GB2312" w:hAnsi="仿宋_GB2312" w:eastAsia="仿宋_GB2312" w:cs="仿宋_GB2312"/>
          <w:b w:val="0"/>
          <w:bCs w:val="0"/>
          <w:i w:val="0"/>
          <w:caps w:val="0"/>
          <w:color w:val="000000"/>
          <w:spacing w:val="-6"/>
          <w:w w:val="100"/>
          <w:kern w:val="2"/>
          <w:sz w:val="32"/>
          <w:szCs w:val="32"/>
          <w:lang w:val="en-US" w:eastAsia="zh-CN" w:bidi="ar-SA"/>
        </w:rPr>
        <w:t>档案。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第五十三条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征拆项目实施中涉及政策未明确的或政策未覆盖的个案问题，实行实施主体单位集体研究决策机制，制定处理方案。实施主体单位集体研究制定的处理方案应报市自然资源局备案。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第五十四条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农村集体经济组织成员成建制转为城镇居民后，因建设需要使用其剩余土地，涉及土地和房屋征收补偿安置的，按照本办法执行。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经批准使用国有农场、林场、牧场、渔场土地，以及乡镇（街道）、村（社区）公共设施、公益事业建设，乡镇企业使用集体所有土地，涉及土地和房屋及其他地上附着物征收补偿安置的，参照本办法执行。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0"/>
          <w:sz w:val="32"/>
          <w:szCs w:val="32"/>
          <w:lang w:val="en-US" w:eastAsia="zh-CN" w:bidi="ar-SA"/>
        </w:rPr>
        <w:t xml:space="preserve">第五十五条 </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本办法自2022年1月1日起施行。原《邵东市集体土地征收及房屋拆迁补偿安置办法》（邵东政发〔2019〕2号）同时废止。本办法施行前，已办理征地审批手续，并发布《征收土地公告》的，按原公告确定的标准执行；本办法施行前，已办理征地审批手续，但尚未发布《征收土地公告》的，按照本办法执行。</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right="0" w:firstLine="643"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Style w:val="13"/>
          <w:rFonts w:hint="eastAsia" w:ascii="楷体_GB2312" w:hAnsi="楷体_GB2312" w:eastAsia="楷体_GB2312" w:cs="楷体_GB2312"/>
          <w:b/>
          <w:bCs/>
          <w:i w:val="0"/>
          <w:caps w:val="0"/>
          <w:color w:val="000000"/>
          <w:spacing w:val="0"/>
          <w:w w:val="100"/>
          <w:kern w:val="2"/>
          <w:sz w:val="32"/>
          <w:szCs w:val="32"/>
          <w:lang w:val="en-US" w:eastAsia="zh-CN" w:bidi="ar-SA"/>
        </w:rPr>
        <w:t>第五十六条</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 xml:space="preserve">  法律、法规、规章、上级政策等与本办法规定不一致的，从其规定。</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right="0" w:firstLine="640" w:firstLineChars="200"/>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附件：1.邵东市征地补偿标准（2021年调整）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1600" w:firstLineChars="5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2.专业菜地、专业鱼塘青苗补偿标准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1600" w:firstLineChars="5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3.耕地青苗补偿标准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1600" w:firstLineChars="500"/>
        <w:jc w:val="both"/>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4.果树类经济林青苗补偿标准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5.成片林、疏林、零星树木、竹类及经农林部门批准的苗木苗圃青苗补偿标准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6.茶叶青苗补偿标准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7.</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药材青苗补偿标准</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1937" w:leftChars="761" w:hanging="339" w:hangingChars="106"/>
        <w:jc w:val="both"/>
        <w:textAlignment w:val="baseline"/>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Fonts w:hint="eastAsia" w:ascii="仿宋_GB2312" w:hAnsi="仿宋_GB2312" w:eastAsia="仿宋_GB2312" w:cs="仿宋_GB2312"/>
          <w:sz w:val="32"/>
          <w:szCs w:val="32"/>
          <w:lang w:val="en-US" w:eastAsia="zh-CN"/>
        </w:rPr>
        <w:t>8.</w:t>
      </w:r>
      <w:r>
        <w:rPr>
          <w:rStyle w:val="13"/>
          <w:rFonts w:hint="eastAsia" w:ascii="仿宋_GB2312" w:hAnsi="仿宋_GB2312" w:eastAsia="仿宋_GB2312" w:cs="仿宋_GB2312"/>
          <w:b w:val="0"/>
          <w:bCs w:val="0"/>
          <w:i w:val="0"/>
          <w:caps w:val="0"/>
          <w:color w:val="000000"/>
          <w:spacing w:val="0"/>
          <w:w w:val="100"/>
          <w:kern w:val="2"/>
          <w:sz w:val="32"/>
          <w:szCs w:val="32"/>
          <w:lang w:val="en-US" w:eastAsia="zh-CN" w:bidi="ar-SA"/>
        </w:rPr>
        <w:t>房屋室内装修和室外生产、生活设施补偿标准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9.</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迁坟、迁移电杆和拉线补偿标准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10.</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征收房屋结构等级标准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11.</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征收房屋补偿标准（货币安置、安置房安置）</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1937" w:leftChars="761" w:hanging="339" w:hangingChars="106"/>
        <w:jc w:val="both"/>
        <w:textAlignment w:val="baseline"/>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12.</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 xml:space="preserve">征收房屋补偿标准（迁建安置） </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2051" w:leftChars="759" w:hanging="457" w:hangingChars="143"/>
        <w:jc w:val="both"/>
        <w:textAlignment w:val="baseline"/>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13.</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分散迁建安置土地、水、电、路、超深基础等补助标准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firstLine="1600" w:firstLineChars="500"/>
        <w:jc w:val="both"/>
        <w:textAlignment w:val="baseline"/>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pPr>
      <w:r>
        <w:rPr>
          <w:rFonts w:hint="eastAsia" w:ascii="仿宋_GB2312" w:hAnsi="仿宋_GB2312" w:eastAsia="仿宋_GB2312" w:cs="仿宋_GB2312"/>
          <w:sz w:val="32"/>
          <w:szCs w:val="32"/>
          <w:lang w:val="en-US" w:eastAsia="zh-CN"/>
        </w:rPr>
        <w:t>14.</w:t>
      </w:r>
      <w:r>
        <w:rPr>
          <w:rStyle w:val="13"/>
          <w:rFonts w:hint="eastAsia" w:ascii="仿宋_GB2312" w:hAnsi="仿宋_GB2312" w:eastAsia="仿宋_GB2312" w:cs="仿宋_GB2312"/>
          <w:b w:val="0"/>
          <w:bCs w:val="0"/>
          <w:i w:val="0"/>
          <w:caps w:val="0"/>
          <w:color w:val="000000"/>
          <w:spacing w:val="0"/>
          <w:w w:val="100"/>
          <w:kern w:val="0"/>
          <w:sz w:val="32"/>
          <w:szCs w:val="32"/>
          <w:lang w:val="en-US" w:eastAsia="zh-CN" w:bidi="ar-SA"/>
        </w:rPr>
        <w:t>过渡费、搬家费标准</w:t>
      </w:r>
    </w:p>
    <w:p>
      <w:pPr>
        <w:snapToGrid w:val="0"/>
        <w:spacing w:before="0" w:beforeAutospacing="0" w:after="0" w:afterAutospacing="0" w:line="560" w:lineRule="atLeast"/>
        <w:ind w:firstLine="640" w:firstLineChars="200"/>
        <w:jc w:val="both"/>
        <w:textAlignment w:val="baseline"/>
        <w:rPr>
          <w:rStyle w:val="13"/>
          <w:rFonts w:hint="default" w:ascii="Times New Roman" w:hAnsi="Times New Roman" w:eastAsia="仿宋_GB2312" w:cstheme="minorBidi"/>
          <w:b w:val="0"/>
          <w:bCs w:val="0"/>
          <w:i w:val="0"/>
          <w:caps w:val="0"/>
          <w:color w:val="000000"/>
          <w:spacing w:val="0"/>
          <w:w w:val="100"/>
          <w:kern w:val="2"/>
          <w:sz w:val="32"/>
          <w:szCs w:val="32"/>
          <w:lang w:val="en-US" w:eastAsia="zh-CN" w:bidi="ar-SA"/>
        </w:rPr>
        <w:sectPr>
          <w:footerReference r:id="rId3" w:type="default"/>
          <w:pgSz w:w="11906" w:h="16838"/>
          <w:pgMar w:top="2211" w:right="1474" w:bottom="1928" w:left="1644" w:header="851" w:footer="992" w:gutter="0"/>
          <w:lnNumType w:countBy="0"/>
          <w:pgNumType w:fmt="numberInDash"/>
          <w:cols w:space="425" w:num="1"/>
          <w:vAlign w:val="top"/>
          <w:docGrid w:type="lines" w:linePitch="312" w:charSpace="0"/>
        </w:sect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jc w:val="left"/>
        <w:textAlignment w:val="baseline"/>
        <w:rPr>
          <w:rStyle w:val="13"/>
          <w:rFonts w:hint="eastAsia" w:ascii="黑体" w:hAnsi="黑体" w:eastAsia="黑体" w:cs="黑体"/>
          <w:b w:val="0"/>
          <w:bCs w:val="0"/>
          <w:i w:val="0"/>
          <w:caps w:val="0"/>
          <w:color w:val="000000"/>
          <w:spacing w:val="0"/>
          <w:w w:val="100"/>
          <w:kern w:val="2"/>
          <w:sz w:val="32"/>
          <w:szCs w:val="32"/>
          <w:lang w:val="en-US" w:eastAsia="zh-CN" w:bidi="ar-SA"/>
        </w:rPr>
      </w:pPr>
      <w:r>
        <w:rPr>
          <w:rStyle w:val="13"/>
          <w:rFonts w:hint="eastAsia" w:ascii="黑体" w:hAnsi="黑体" w:eastAsia="黑体" w:cs="黑体"/>
          <w:b w:val="0"/>
          <w:bCs w:val="0"/>
          <w:i w:val="0"/>
          <w:caps w:val="0"/>
          <w:color w:val="000000"/>
          <w:spacing w:val="0"/>
          <w:w w:val="100"/>
          <w:kern w:val="2"/>
          <w:sz w:val="32"/>
          <w:szCs w:val="32"/>
          <w:lang w:val="en-US" w:eastAsia="zh-CN" w:bidi="ar-SA"/>
        </w:rPr>
        <w:t>附件1</w:t>
      </w:r>
    </w:p>
    <w:p>
      <w:pPr>
        <w:widowControl/>
        <w:snapToGrid/>
        <w:spacing w:before="0" w:beforeAutospacing="0" w:after="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邵东市征地补偿标准（2021年调整）</w:t>
      </w:r>
    </w:p>
    <w:p>
      <w:pPr>
        <w:widowControl/>
        <w:wordWrap w:val="0"/>
        <w:snapToGrid/>
        <w:spacing w:before="0" w:beforeAutospacing="0" w:after="0" w:afterAutospacing="0" w:line="240" w:lineRule="auto"/>
        <w:jc w:val="right"/>
        <w:textAlignment w:val="baseline"/>
        <w:rPr>
          <w:rStyle w:val="13"/>
          <w:rFonts w:hint="default" w:ascii="楷体_GB2312" w:hAnsi="楷体_GB2312" w:eastAsia="楷体_GB2312" w:cs="楷体_GB2312"/>
          <w:b w:val="0"/>
          <w:bCs w:val="0"/>
          <w:i w:val="0"/>
          <w:caps w:val="0"/>
          <w:strike/>
          <w:color w:val="000000"/>
          <w:spacing w:val="0"/>
          <w:w w:val="100"/>
          <w:kern w:val="0"/>
          <w:sz w:val="28"/>
          <w:szCs w:val="28"/>
          <w:lang w:val="en-US" w:eastAsia="zh-CN" w:bidi="ar-SA"/>
        </w:rPr>
      </w:pPr>
      <w:r>
        <w:rPr>
          <w:rStyle w:val="13"/>
          <w:rFonts w:hint="eastAsia" w:ascii="楷体_GB2312" w:hAnsi="楷体_GB2312" w:eastAsia="楷体_GB2312" w:cs="楷体_GB2312"/>
          <w:b w:val="0"/>
          <w:bCs w:val="0"/>
          <w:i w:val="0"/>
          <w:caps w:val="0"/>
          <w:color w:val="000000"/>
          <w:spacing w:val="0"/>
          <w:w w:val="100"/>
          <w:kern w:val="0"/>
          <w:sz w:val="28"/>
          <w:szCs w:val="28"/>
          <w:lang w:val="en-US" w:eastAsia="zh-CN"/>
        </w:rPr>
        <w:t xml:space="preserve">单位：元/亩    </w:t>
      </w:r>
    </w:p>
    <w:tbl>
      <w:tblPr>
        <w:tblStyle w:val="9"/>
        <w:tblW w:w="105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
        <w:gridCol w:w="3530"/>
        <w:gridCol w:w="870"/>
        <w:gridCol w:w="877"/>
        <w:gridCol w:w="836"/>
        <w:gridCol w:w="1365"/>
        <w:gridCol w:w="124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rPr>
              <w:t>区域</w:t>
            </w:r>
            <w:r>
              <w:rPr>
                <w:rStyle w:val="13"/>
                <w:rFonts w:hint="eastAsia" w:ascii="黑体" w:hAnsi="黑体" w:eastAsia="黑体" w:cs="黑体"/>
                <w:b w:val="0"/>
                <w:bCs w:val="0"/>
                <w:i w:val="0"/>
                <w:caps w:val="0"/>
                <w:color w:val="000000"/>
                <w:spacing w:val="0"/>
                <w:w w:val="100"/>
                <w:kern w:val="0"/>
                <w:sz w:val="24"/>
                <w:szCs w:val="24"/>
                <w:lang w:val="en-US" w:eastAsia="zh-CN"/>
              </w:rPr>
              <w:br w:type="textWrapping"/>
            </w:r>
            <w:r>
              <w:rPr>
                <w:rStyle w:val="13"/>
                <w:rFonts w:hint="eastAsia" w:ascii="黑体" w:hAnsi="黑体" w:eastAsia="黑体" w:cs="黑体"/>
                <w:b w:val="0"/>
                <w:bCs w:val="0"/>
                <w:i w:val="0"/>
                <w:caps w:val="0"/>
                <w:color w:val="000000"/>
                <w:spacing w:val="0"/>
                <w:w w:val="100"/>
                <w:kern w:val="0"/>
                <w:sz w:val="24"/>
                <w:szCs w:val="24"/>
                <w:lang w:val="en-US" w:eastAsia="zh-CN"/>
              </w:rPr>
              <w:t>编号</w:t>
            </w:r>
          </w:p>
        </w:tc>
        <w:tc>
          <w:tcPr>
            <w:tcW w:w="353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rPr>
              <w:t>区域范围描述</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rPr>
              <w:t>征地补偿标准</w:t>
            </w:r>
          </w:p>
        </w:tc>
        <w:tc>
          <w:tcPr>
            <w:tcW w:w="528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rPr>
              <w:t>地类系数及补偿标准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0"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p>
        </w:tc>
        <w:tc>
          <w:tcPr>
            <w:tcW w:w="353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rPr>
              <w:t>永久</w:t>
            </w:r>
            <w:r>
              <w:rPr>
                <w:rStyle w:val="13"/>
                <w:rFonts w:hint="eastAsia" w:ascii="黑体" w:hAnsi="黑体" w:eastAsia="黑体" w:cs="黑体"/>
                <w:b w:val="0"/>
                <w:bCs w:val="0"/>
                <w:i w:val="0"/>
                <w:caps w:val="0"/>
                <w:color w:val="000000"/>
                <w:spacing w:val="0"/>
                <w:w w:val="100"/>
                <w:kern w:val="0"/>
                <w:sz w:val="24"/>
                <w:szCs w:val="24"/>
                <w:lang w:val="en-US" w:eastAsia="zh-CN"/>
              </w:rPr>
              <w:br w:type="textWrapping"/>
            </w:r>
            <w:r>
              <w:rPr>
                <w:rStyle w:val="13"/>
                <w:rFonts w:hint="eastAsia" w:ascii="黑体" w:hAnsi="黑体" w:eastAsia="黑体" w:cs="黑体"/>
                <w:b w:val="0"/>
                <w:bCs w:val="0"/>
                <w:i w:val="0"/>
                <w:caps w:val="0"/>
                <w:color w:val="000000"/>
                <w:spacing w:val="0"/>
                <w:w w:val="100"/>
                <w:kern w:val="0"/>
                <w:sz w:val="24"/>
                <w:szCs w:val="24"/>
                <w:lang w:val="en-US" w:eastAsia="zh-CN"/>
              </w:rPr>
              <w:t>基本</w:t>
            </w:r>
            <w:r>
              <w:rPr>
                <w:rStyle w:val="13"/>
                <w:rFonts w:hint="eastAsia" w:ascii="黑体" w:hAnsi="黑体" w:eastAsia="黑体" w:cs="黑体"/>
                <w:b w:val="0"/>
                <w:bCs w:val="0"/>
                <w:i w:val="0"/>
                <w:caps w:val="0"/>
                <w:color w:val="000000"/>
                <w:spacing w:val="0"/>
                <w:w w:val="100"/>
                <w:kern w:val="0"/>
                <w:sz w:val="24"/>
                <w:szCs w:val="24"/>
                <w:lang w:val="en-US" w:eastAsia="zh-CN"/>
              </w:rPr>
              <w:br w:type="textWrapping"/>
            </w:r>
            <w:r>
              <w:rPr>
                <w:rStyle w:val="13"/>
                <w:rFonts w:hint="eastAsia" w:ascii="黑体" w:hAnsi="黑体" w:eastAsia="黑体" w:cs="黑体"/>
                <w:b w:val="0"/>
                <w:bCs w:val="0"/>
                <w:i w:val="0"/>
                <w:caps w:val="0"/>
                <w:color w:val="000000"/>
                <w:spacing w:val="0"/>
                <w:w w:val="100"/>
                <w:kern w:val="0"/>
                <w:sz w:val="24"/>
                <w:szCs w:val="24"/>
                <w:lang w:val="en-US" w:eastAsia="zh-CN"/>
              </w:rPr>
              <w:t>农田</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rPr>
              <w:t>水田(属永久基本农田的除外)</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rPr>
              <w:t>旱地、水浇地、农村道路、坑塘水面、沟渠、田坎；宅基地、交通运输、水工建筑等建设用地</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黑体" w:hAnsi="黑体" w:eastAsia="黑体" w:cs="黑体"/>
                <w:b w:val="0"/>
                <w:bCs w:val="0"/>
                <w:i w:val="0"/>
                <w:caps w:val="0"/>
                <w:color w:val="000000"/>
                <w:spacing w:val="0"/>
                <w:w w:val="100"/>
                <w:kern w:val="0"/>
                <w:sz w:val="24"/>
                <w:szCs w:val="24"/>
                <w:lang w:val="en-US" w:eastAsia="zh-CN"/>
              </w:rPr>
            </w:pPr>
            <w:r>
              <w:rPr>
                <w:rStyle w:val="13"/>
                <w:rFonts w:hint="eastAsia" w:ascii="黑体" w:hAnsi="黑体" w:eastAsia="黑体" w:cs="黑体"/>
                <w:b w:val="0"/>
                <w:bCs w:val="0"/>
                <w:i w:val="0"/>
                <w:caps w:val="0"/>
                <w:color w:val="000000"/>
                <w:spacing w:val="0"/>
                <w:w w:val="100"/>
                <w:kern w:val="0"/>
                <w:sz w:val="24"/>
                <w:szCs w:val="24"/>
                <w:lang w:val="en-US" w:eastAsia="zh-CN"/>
              </w:rPr>
              <w:t>园地、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rPr>
              <w:t>林地</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rPr>
              <w:t>未利</w:t>
            </w:r>
            <w:r>
              <w:rPr>
                <w:rStyle w:val="13"/>
                <w:rFonts w:hint="eastAsia" w:ascii="黑体" w:hAnsi="黑体" w:eastAsia="黑体" w:cs="黑体"/>
                <w:b w:val="0"/>
                <w:bCs w:val="0"/>
                <w:i w:val="0"/>
                <w:caps w:val="0"/>
                <w:color w:val="000000"/>
                <w:spacing w:val="0"/>
                <w:w w:val="100"/>
                <w:kern w:val="0"/>
                <w:sz w:val="24"/>
                <w:szCs w:val="24"/>
                <w:lang w:val="en-US" w:eastAsia="zh-CN"/>
              </w:rPr>
              <w:br w:type="textWrapping"/>
            </w:r>
            <w:r>
              <w:rPr>
                <w:rStyle w:val="13"/>
                <w:rFonts w:hint="eastAsia" w:ascii="黑体" w:hAnsi="黑体" w:eastAsia="黑体" w:cs="黑体"/>
                <w:b w:val="0"/>
                <w:bCs w:val="0"/>
                <w:i w:val="0"/>
                <w:caps w:val="0"/>
                <w:color w:val="000000"/>
                <w:spacing w:val="0"/>
                <w:w w:val="100"/>
                <w:kern w:val="0"/>
                <w:sz w:val="24"/>
                <w:szCs w:val="24"/>
                <w:lang w:val="en-US" w:eastAsia="zh-CN"/>
              </w:rPr>
              <w:t>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0"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Ⅰ区</w:t>
            </w:r>
          </w:p>
        </w:tc>
        <w:tc>
          <w:tcPr>
            <w:tcW w:w="3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both"/>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两市塘街道【胜利社区、文化社区、和平社区、港南社区、城南社区、三兴社区、高田社区、坝上新村、永旺村、九江村、峦兴村、云山村、园艺场】▲大禾塘街道【城东社区、大田社区、荷田社区、福田社区、红土岭社区、红旗社区、太和社区、大坪弯社区、新凤社区、梅岭社区、里安社区、礼经社区、利农村、观山村、排头村、晨光村、同意村、龙石村、余桥村、东山曲丝村、桐江茶场】▲宋家塘街道【新辉社区、荷花社区、公园社区、宋家塘社区、广场社区、新铺台社区、金兴社区、赛田社区、湖塘社区、麦子口社区、金泉社区、软塘社区、丘田村、巨轮村】▲黑田铺镇【城北新村】▲周官桥乡【桥口新村、联合村】▲农科所</w:t>
            </w:r>
          </w:p>
        </w:tc>
        <w:tc>
          <w:tcPr>
            <w:tcW w:w="870" w:type="dxa"/>
            <w:vMerge w:val="restar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65520</w:t>
            </w: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 xml:space="preserve">2.0 </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1.2</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 xml:space="preserve">1.0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0.8</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5"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35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870" w:type="dxa"/>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131040</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 xml:space="preserve">78624 </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65520</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52416</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39312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Ⅱ区</w:t>
            </w:r>
          </w:p>
        </w:tc>
        <w:tc>
          <w:tcPr>
            <w:tcW w:w="3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Ⅰ区未描述的其他所有</w:t>
            </w: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br w:type="textWrapping"/>
            </w: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乡（镇、街道）村（社区）</w:t>
            </w:r>
          </w:p>
        </w:tc>
        <w:tc>
          <w:tcPr>
            <w:tcW w:w="870" w:type="dxa"/>
            <w:vMerge w:val="restar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58695</w:t>
            </w: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 xml:space="preserve">2.0 </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1.2</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 xml:space="preserve">1.0 </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0.8</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35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870" w:type="dxa"/>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 xml:space="preserve">117390 </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 xml:space="preserve">70434 </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 xml:space="preserve">58695 </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 xml:space="preserve">46956 </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cente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rPr>
              <w:t xml:space="preserve">35217 </w:t>
            </w:r>
          </w:p>
        </w:tc>
      </w:tr>
    </w:tbl>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jc w:val="left"/>
        <w:textAlignment w:val="baseline"/>
        <w:rPr>
          <w:rStyle w:val="13"/>
          <w:rFonts w:hint="eastAsia" w:ascii="黑体" w:hAnsi="黑体" w:eastAsia="黑体" w:cs="黑体"/>
          <w:b w:val="0"/>
          <w:bCs w:val="0"/>
          <w:i w:val="0"/>
          <w:caps w:val="0"/>
          <w:color w:val="000000"/>
          <w:spacing w:val="0"/>
          <w:w w:val="100"/>
          <w:kern w:val="2"/>
          <w:sz w:val="32"/>
          <w:szCs w:val="32"/>
          <w:lang w:val="en-US" w:eastAsia="zh-CN" w:bidi="ar-SA"/>
        </w:rPr>
      </w:pPr>
      <w:r>
        <w:rPr>
          <w:rStyle w:val="13"/>
          <w:rFonts w:hint="eastAsia" w:ascii="黑体" w:hAnsi="黑体" w:eastAsia="黑体" w:cs="黑体"/>
          <w:b w:val="0"/>
          <w:bCs w:val="0"/>
          <w:i w:val="0"/>
          <w:caps w:val="0"/>
          <w:color w:val="000000"/>
          <w:spacing w:val="0"/>
          <w:w w:val="100"/>
          <w:kern w:val="2"/>
          <w:sz w:val="32"/>
          <w:szCs w:val="32"/>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附件2</w:t>
      </w:r>
    </w:p>
    <w:p>
      <w:pPr>
        <w:widowControl/>
        <w:snapToGrid/>
        <w:spacing w:before="0" w:beforeAutospacing="0" w:after="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专业菜地、专业鱼塘青苗补偿标准</w:t>
      </w:r>
    </w:p>
    <w:p>
      <w:pPr>
        <w:widowControl/>
        <w:wordWrap w:val="0"/>
        <w:snapToGrid/>
        <w:spacing w:before="0" w:beforeAutospacing="0" w:after="0" w:afterAutospacing="0" w:line="240" w:lineRule="auto"/>
        <w:jc w:val="right"/>
        <w:textAlignment w:val="baseline"/>
        <w:rPr>
          <w:rStyle w:val="13"/>
          <w:rFonts w:hint="default" w:ascii="楷体_GB2312" w:hAnsi="楷体_GB2312" w:eastAsia="楷体_GB2312" w:cs="楷体_GB2312"/>
          <w:b w:val="0"/>
          <w:bCs w:val="0"/>
          <w:i w:val="0"/>
          <w:caps w:val="0"/>
          <w:color w:val="000000"/>
          <w:spacing w:val="0"/>
          <w:w w:val="100"/>
          <w:kern w:val="0"/>
          <w:sz w:val="28"/>
          <w:szCs w:val="28"/>
          <w:lang w:val="en-US" w:eastAsia="zh-CN"/>
        </w:rPr>
      </w:pPr>
      <w:r>
        <w:rPr>
          <w:rStyle w:val="13"/>
          <w:rFonts w:hint="eastAsia" w:ascii="楷体_GB2312" w:hAnsi="楷体_GB2312" w:eastAsia="楷体_GB2312" w:cs="楷体_GB2312"/>
          <w:b w:val="0"/>
          <w:bCs w:val="0"/>
          <w:i w:val="0"/>
          <w:caps w:val="0"/>
          <w:color w:val="000000"/>
          <w:spacing w:val="0"/>
          <w:w w:val="100"/>
          <w:kern w:val="0"/>
          <w:sz w:val="28"/>
          <w:szCs w:val="28"/>
          <w:lang w:val="en-US" w:eastAsia="zh-CN"/>
        </w:rPr>
        <w:t xml:space="preserve">  单位：元/亩    </w:t>
      </w:r>
    </w:p>
    <w:tbl>
      <w:tblPr>
        <w:tblStyle w:val="9"/>
        <w:tblW w:w="8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3"/>
        <w:gridCol w:w="836"/>
        <w:gridCol w:w="981"/>
        <w:gridCol w:w="6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jc w:val="center"/>
        </w:trPr>
        <w:tc>
          <w:tcPr>
            <w:tcW w:w="9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土地</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种类</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类别</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青苗</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补偿费</w:t>
            </w:r>
          </w:p>
        </w:tc>
        <w:tc>
          <w:tcPr>
            <w:tcW w:w="60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882" w:leftChars="20" w:right="42" w:rightChars="20" w:hanging="84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exact"/>
          <w:jc w:val="center"/>
        </w:trPr>
        <w:tc>
          <w:tcPr>
            <w:tcW w:w="9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19"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专</w:t>
            </w:r>
          </w:p>
          <w:p>
            <w:pPr>
              <w:keepNext w:val="0"/>
              <w:keepLines w:val="0"/>
              <w:pageBreakBefore w:val="0"/>
              <w:widowControl/>
              <w:kinsoku/>
              <w:wordWrap/>
              <w:overflowPunct/>
              <w:topLinePunct w:val="0"/>
              <w:autoSpaceDE/>
              <w:autoSpaceDN/>
              <w:bidi w:val="0"/>
              <w:adjustRightInd/>
              <w:snapToGrid/>
              <w:spacing w:before="0" w:beforeAutospacing="0" w:after="0" w:afterAutospacing="0" w:line="419"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419"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菜</w:t>
            </w:r>
          </w:p>
          <w:p>
            <w:pPr>
              <w:keepNext w:val="0"/>
              <w:keepLines w:val="0"/>
              <w:pageBreakBefore w:val="0"/>
              <w:widowControl/>
              <w:kinsoku/>
              <w:wordWrap/>
              <w:overflowPunct/>
              <w:topLinePunct w:val="0"/>
              <w:autoSpaceDE/>
              <w:autoSpaceDN/>
              <w:bidi w:val="0"/>
              <w:adjustRightInd/>
              <w:snapToGrid/>
              <w:spacing w:before="0" w:beforeAutospacing="0" w:after="0" w:afterAutospacing="0" w:line="419"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地</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一</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9000</w:t>
            </w:r>
          </w:p>
        </w:tc>
        <w:tc>
          <w:tcPr>
            <w:tcW w:w="60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1.专业菜地，指邵东市级（含邵东市级）以上人民政府或农业行政主管部门批准范围内常年耕种且稳产高产的蔬菜基地（蔬菜基地范围以外种植的蔬菜不按此标准补偿）。抛荒未耕种的菜地不补青苗费。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2.邵东市级（含邵东市级）以上人民政府或农业行政主管部门批准的专业蔬菜村，承包农户未种植蔬菜的，按实际种植农作物补偿青苗费。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3.一类菜地为土质肥沃，有灌溉设施、地势平坦、常年耕种的高产菜田或大棚菜地；二类菜地为土质肥沃，自流灌溉，常年耕种的菜田，平土或梯耕菜地。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exact"/>
          <w:jc w:val="center"/>
        </w:trPr>
        <w:tc>
          <w:tcPr>
            <w:tcW w:w="9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二</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7000</w:t>
            </w:r>
          </w:p>
        </w:tc>
        <w:tc>
          <w:tcPr>
            <w:tcW w:w="60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exact"/>
          <w:jc w:val="center"/>
        </w:trPr>
        <w:tc>
          <w:tcPr>
            <w:tcW w:w="97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专</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鱼</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塘</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一</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6000</w:t>
            </w:r>
          </w:p>
        </w:tc>
        <w:tc>
          <w:tcPr>
            <w:tcW w:w="602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专业鱼塘指邵东市级（含邵东市级）以上人民政府或畜牧水产行政主管部门批准并颁发水产养殖使用证、自动排灌、不承担灌溉任务的精养鱼塘，视产量和排灌充氧设施分一、二类。不符合以上条件的养鱼塘不按此标准补偿青苗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2.邵东市级（含邵东市级）以上人民政府或畜牧水产行政主管部门批准并颁发专业水产养殖证的鱼塘，实施征地时未养殖的，按一般水塘补偿青苗费。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exact"/>
          <w:jc w:val="center"/>
        </w:trPr>
        <w:tc>
          <w:tcPr>
            <w:tcW w:w="9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二</w:t>
            </w:r>
          </w:p>
        </w:tc>
        <w:tc>
          <w:tcPr>
            <w:tcW w:w="9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4000</w:t>
            </w:r>
          </w:p>
        </w:tc>
        <w:tc>
          <w:tcPr>
            <w:tcW w:w="602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bl>
    <w:p>
      <w:pPr>
        <w:keepNext w:val="0"/>
        <w:keepLines w:val="0"/>
        <w:pageBreakBefore w:val="0"/>
        <w:widowControl/>
        <w:kinsoku/>
        <w:wordWrap/>
        <w:overflowPunct/>
        <w:topLinePunct w:val="0"/>
        <w:autoSpaceDE/>
        <w:autoSpaceDN/>
        <w:bidi w:val="0"/>
        <w:adjustRightInd/>
        <w:snapToGrid/>
        <w:spacing w:before="157" w:beforeLines="50" w:beforeAutospacing="0" w:after="0" w:afterAutospacing="0" w:line="419" w:lineRule="exact"/>
        <w:ind w:left="1418" w:leftChars="246" w:hanging="901" w:firstLineChars="0"/>
        <w:jc w:val="both"/>
        <w:textAlignment w:val="baseline"/>
        <w:rPr>
          <w:rStyle w:val="13"/>
          <w:rFonts w:hint="eastAsia" w:ascii="楷体_GB2312" w:hAnsi="楷体_GB2312" w:eastAsia="楷体_GB2312" w:cs="楷体_GB2312"/>
          <w:b w:val="0"/>
          <w:bCs w:val="0"/>
          <w:i w:val="0"/>
          <w:caps w:val="0"/>
          <w:color w:val="000000"/>
          <w:spacing w:val="0"/>
          <w:w w:val="100"/>
          <w:kern w:val="2"/>
          <w:sz w:val="28"/>
          <w:szCs w:val="28"/>
          <w:lang w:val="en-US" w:eastAsia="zh-CN" w:bidi="ar-SA"/>
        </w:rPr>
      </w:pPr>
      <w:r>
        <w:rPr>
          <w:rStyle w:val="13"/>
          <w:rFonts w:hint="eastAsia" w:ascii="楷体_GB2312" w:hAnsi="楷体_GB2312" w:eastAsia="楷体_GB2312" w:cs="楷体_GB2312"/>
          <w:b w:val="0"/>
          <w:bCs w:val="0"/>
          <w:i w:val="0"/>
          <w:caps w:val="0"/>
          <w:color w:val="000000"/>
          <w:spacing w:val="0"/>
          <w:w w:val="100"/>
          <w:kern w:val="0"/>
          <w:sz w:val="28"/>
          <w:szCs w:val="28"/>
          <w:lang w:val="en-US" w:eastAsia="zh-CN" w:bidi="ar-SA"/>
        </w:rPr>
        <w:t>说明：</w:t>
      </w:r>
      <w:r>
        <w:rPr>
          <w:rStyle w:val="13"/>
          <w:rFonts w:hint="eastAsia" w:ascii="楷体_GB2312" w:hAnsi="楷体_GB2312" w:eastAsia="楷体_GB2312" w:cs="楷体_GB2312"/>
          <w:b w:val="0"/>
          <w:bCs w:val="0"/>
          <w:i w:val="0"/>
          <w:caps w:val="0"/>
          <w:color w:val="000000"/>
          <w:spacing w:val="0"/>
          <w:w w:val="100"/>
          <w:kern w:val="2"/>
          <w:sz w:val="28"/>
          <w:szCs w:val="28"/>
          <w:lang w:val="en-US" w:eastAsia="zh-CN" w:bidi="ar-SA"/>
        </w:rPr>
        <w:t>专业菜地与专业鱼塘（含专业鱼池）的征地补偿费按湘政发〔2021〕3号文件规定的同片区的水田标准执行。</w:t>
      </w:r>
    </w:p>
    <w:p>
      <w:pPr>
        <w:widowControl/>
        <w:snapToGrid/>
        <w:spacing w:before="0" w:beforeAutospacing="0" w:after="0" w:afterAutospacing="0" w:line="419" w:lineRule="exact"/>
        <w:jc w:val="center"/>
        <w:textAlignment w:val="baseline"/>
        <w:rPr>
          <w:rStyle w:val="13"/>
          <w:rFonts w:ascii="Times New Roman" w:hAnsi="Times New Roman" w:eastAsia="新宋体"/>
          <w:b w:val="0"/>
          <w:bCs w:val="0"/>
          <w:i w:val="0"/>
          <w:caps w:val="0"/>
          <w:color w:val="000000"/>
          <w:spacing w:val="0"/>
          <w:w w:val="100"/>
          <w:kern w:val="0"/>
          <w:sz w:val="36"/>
          <w:szCs w:val="36"/>
          <w:lang w:val="en-US" w:eastAsia="zh-CN" w:bidi="ar-SA"/>
        </w:rPr>
      </w:pPr>
    </w:p>
    <w:p>
      <w:pPr>
        <w:widowControl/>
        <w:snapToGrid/>
        <w:spacing w:before="0" w:beforeAutospacing="0" w:after="0" w:afterAutospacing="0" w:line="419" w:lineRule="exact"/>
        <w:jc w:val="center"/>
        <w:textAlignment w:val="baseline"/>
        <w:rPr>
          <w:rStyle w:val="13"/>
          <w:rFonts w:ascii="Times New Roman" w:hAnsi="Times New Roman"/>
          <w:b w:val="0"/>
          <w:bCs w:val="0"/>
          <w:i w:val="0"/>
          <w:caps w:val="0"/>
          <w:color w:val="000000"/>
          <w:spacing w:val="0"/>
          <w:w w:val="100"/>
          <w:kern w:val="0"/>
          <w:sz w:val="23"/>
          <w:szCs w:val="23"/>
          <w:lang w:val="en-US" w:eastAsia="zh-CN" w:bidi="ar-SA"/>
        </w:rPr>
      </w:pPr>
      <w:r>
        <w:rPr>
          <w:rStyle w:val="13"/>
          <w:rFonts w:ascii="Times New Roman" w:hAnsi="Times New Roman" w:eastAsia="新宋体"/>
          <w:b w:val="0"/>
          <w:bCs w:val="0"/>
          <w:i w:val="0"/>
          <w:caps w:val="0"/>
          <w:color w:val="000000"/>
          <w:spacing w:val="0"/>
          <w:w w:val="100"/>
          <w:kern w:val="0"/>
          <w:sz w:val="36"/>
          <w:szCs w:val="36"/>
          <w:lang w:val="en-US" w:eastAsia="zh-CN" w:bidi="ar-SA"/>
        </w:rPr>
        <w:t>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363"/>
        <w:jc w:val="left"/>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ascii="Times New Roman" w:hAnsi="Times New Roman" w:eastAsia="黑体"/>
          <w:b w:val="0"/>
          <w:bCs w:val="0"/>
          <w:i w:val="0"/>
          <w:caps w:val="0"/>
          <w:color w:val="000000"/>
          <w:spacing w:val="0"/>
          <w:w w:val="100"/>
          <w:kern w:val="0"/>
          <w:sz w:val="32"/>
          <w:szCs w:val="32"/>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附件3</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耕地青苗补偿标准</w:t>
      </w:r>
    </w:p>
    <w:p>
      <w:pPr>
        <w:widowControl/>
        <w:wordWrap w:val="0"/>
        <w:snapToGrid/>
        <w:spacing w:before="0" w:beforeAutospacing="0" w:after="0" w:afterAutospacing="0" w:line="240" w:lineRule="auto"/>
        <w:jc w:val="right"/>
        <w:textAlignment w:val="baseline"/>
        <w:rPr>
          <w:rStyle w:val="13"/>
          <w:rFonts w:ascii="Times New Roman" w:hAnsi="Times New Roman"/>
          <w:b w:val="0"/>
          <w:bCs w:val="0"/>
          <w:i w:val="0"/>
          <w:caps w:val="0"/>
          <w:color w:val="000000"/>
          <w:spacing w:val="0"/>
          <w:w w:val="100"/>
          <w:kern w:val="0"/>
          <w:sz w:val="21"/>
          <w:szCs w:val="32"/>
          <w:lang w:val="en-US" w:eastAsia="zh-CN" w:bidi="ar-SA"/>
        </w:rPr>
      </w:pPr>
      <w:r>
        <w:rPr>
          <w:rStyle w:val="13"/>
          <w:rFonts w:hint="eastAsia" w:ascii="楷体_GB2312" w:hAnsi="楷体_GB2312" w:eastAsia="楷体_GB2312" w:cs="楷体_GB2312"/>
          <w:b w:val="0"/>
          <w:bCs w:val="0"/>
          <w:i w:val="0"/>
          <w:caps w:val="0"/>
          <w:color w:val="000000"/>
          <w:spacing w:val="0"/>
          <w:w w:val="100"/>
          <w:kern w:val="0"/>
          <w:sz w:val="28"/>
          <w:szCs w:val="28"/>
          <w:lang w:val="en-US" w:eastAsia="zh-CN"/>
        </w:rPr>
        <w:t xml:space="preserve">单位：元/亩    </w:t>
      </w:r>
    </w:p>
    <w:tbl>
      <w:tblPr>
        <w:tblStyle w:val="9"/>
        <w:tblW w:w="90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0"/>
        <w:gridCol w:w="1300"/>
        <w:gridCol w:w="1292"/>
        <w:gridCol w:w="1320"/>
        <w:gridCol w:w="1254"/>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土地种类</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补偿费</w:t>
            </w:r>
          </w:p>
        </w:tc>
        <w:tc>
          <w:tcPr>
            <w:tcW w:w="638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水田</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2700</w:t>
            </w:r>
          </w:p>
        </w:tc>
        <w:tc>
          <w:tcPr>
            <w:tcW w:w="6386" w:type="dxa"/>
            <w:gridSpan w:val="4"/>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1.长年(3年以上)未耕种的不给予青苗补偿。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2.改变原承包用途的只能按水田或旱土标准补偿。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旱土</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u w:val="single" w:color="000000"/>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c>
          <w:tcPr>
            <w:tcW w:w="6386"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水塘或</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山塘</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2700</w:t>
            </w:r>
          </w:p>
        </w:tc>
        <w:tc>
          <w:tcPr>
            <w:tcW w:w="638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兼养鱼的水库按水塘的70%补偿青苗费。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藕田</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（塘）</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一级</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二级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三级</w:t>
            </w:r>
          </w:p>
        </w:tc>
        <w:tc>
          <w:tcPr>
            <w:tcW w:w="377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藕田（塘）、荸荠田分级说明：一级为种植密度达到标准密度80%以上，长势良好；二级为种植密度达到标准密度50-80%，长势较好或一般；三级为种植密度在标准密度50%以下，长势较差。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5200</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4000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3000</w:t>
            </w:r>
          </w:p>
        </w:tc>
        <w:tc>
          <w:tcPr>
            <w:tcW w:w="37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荸荠田</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一级</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二级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三级</w:t>
            </w:r>
          </w:p>
        </w:tc>
        <w:tc>
          <w:tcPr>
            <w:tcW w:w="37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5000</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4000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3000</w:t>
            </w:r>
          </w:p>
        </w:tc>
        <w:tc>
          <w:tcPr>
            <w:tcW w:w="3774"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草莓田</w:t>
            </w: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育苗期</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初果期</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盛果期</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衰老期</w:t>
            </w:r>
          </w:p>
        </w:tc>
        <w:tc>
          <w:tcPr>
            <w:tcW w:w="25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指征地告知书颁布前一年已耕种的。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exact"/>
          <w:jc w:val="center"/>
        </w:trPr>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6000</w:t>
            </w:r>
          </w:p>
        </w:tc>
        <w:tc>
          <w:tcPr>
            <w:tcW w:w="12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8000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15000</w:t>
            </w:r>
          </w:p>
        </w:tc>
        <w:tc>
          <w:tcPr>
            <w:tcW w:w="12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3000</w:t>
            </w:r>
          </w:p>
        </w:tc>
        <w:tc>
          <w:tcPr>
            <w:tcW w:w="25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bl>
    <w:p>
      <w:pPr>
        <w:widowControl/>
        <w:snapToGrid/>
        <w:spacing w:before="0" w:beforeAutospacing="0" w:after="0" w:afterAutospacing="0" w:line="240" w:lineRule="auto"/>
        <w:jc w:val="left"/>
        <w:textAlignment w:val="baseline"/>
        <w:rPr>
          <w:rStyle w:val="13"/>
          <w:rFonts w:ascii="Times New Roman" w:hAnsi="Times New Roman" w:eastAsia="宋体"/>
          <w:b w:val="0"/>
          <w:bCs w:val="0"/>
          <w:i w:val="0"/>
          <w:caps w:val="0"/>
          <w:color w:val="000000"/>
          <w:spacing w:val="0"/>
          <w:w w:val="100"/>
          <w:kern w:val="2"/>
          <w:sz w:val="21"/>
          <w:szCs w:val="21"/>
          <w:lang w:val="en-US" w:eastAsia="zh-CN" w:bidi="ar-SA"/>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right="0"/>
        <w:jc w:val="left"/>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ascii="Times New Roman" w:hAnsi="Times New Roman"/>
          <w:b w:val="0"/>
          <w:bCs w:val="0"/>
          <w:i w:val="0"/>
          <w:caps w:val="0"/>
          <w:color w:val="000000"/>
          <w:spacing w:val="0"/>
          <w:w w:val="100"/>
          <w:kern w:val="2"/>
          <w:sz w:val="30"/>
          <w:szCs w:val="30"/>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附件4</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果树类经济林青苗补偿标准</w:t>
      </w:r>
    </w:p>
    <w:p>
      <w:pPr>
        <w:widowControl/>
        <w:snapToGrid/>
        <w:spacing w:before="0" w:beforeAutospacing="0" w:after="0" w:afterAutospacing="0" w:line="400" w:lineRule="exact"/>
        <w:jc w:val="center"/>
        <w:textAlignment w:val="baseline"/>
        <w:rPr>
          <w:rStyle w:val="13"/>
          <w:rFonts w:hint="eastAsia" w:ascii="楷体_GB2312" w:hAnsi="楷体_GB2312" w:eastAsia="楷体_GB2312" w:cs="楷体_GB2312"/>
          <w:b w:val="0"/>
          <w:bCs w:val="0"/>
          <w:i w:val="0"/>
          <w:caps w:val="0"/>
          <w:color w:val="000000"/>
          <w:spacing w:val="0"/>
          <w:w w:val="100"/>
          <w:kern w:val="0"/>
          <w:sz w:val="28"/>
          <w:szCs w:val="28"/>
          <w:lang w:val="en-US" w:eastAsia="zh-CN"/>
        </w:rPr>
      </w:pPr>
      <w:r>
        <w:rPr>
          <w:rStyle w:val="13"/>
          <w:rFonts w:ascii="Times New Roman" w:hAnsi="Times New Roman" w:eastAsia="新宋体"/>
          <w:b w:val="0"/>
          <w:bCs w:val="0"/>
          <w:i w:val="0"/>
          <w:caps w:val="0"/>
          <w:color w:val="000000"/>
          <w:spacing w:val="0"/>
          <w:w w:val="100"/>
          <w:kern w:val="0"/>
          <w:sz w:val="36"/>
          <w:szCs w:val="36"/>
          <w:lang w:val="en-US" w:eastAsia="zh-CN" w:bidi="ar-SA"/>
        </w:rPr>
        <w:t> </w:t>
      </w:r>
      <w:r>
        <w:rPr>
          <w:rStyle w:val="13"/>
          <w:rFonts w:ascii="Times New Roman" w:hAnsi="Times New Roman"/>
          <w:b w:val="0"/>
          <w:bCs w:val="0"/>
          <w:i w:val="0"/>
          <w:caps w:val="0"/>
          <w:color w:val="000000"/>
          <w:spacing w:val="0"/>
          <w:w w:val="100"/>
          <w:kern w:val="0"/>
          <w:sz w:val="21"/>
          <w:szCs w:val="32"/>
          <w:lang w:val="en-US" w:eastAsia="zh-CN" w:bidi="ar-SA"/>
        </w:rPr>
        <w:t xml:space="preserve">                                                  </w:t>
      </w:r>
      <w:r>
        <w:rPr>
          <w:rStyle w:val="13"/>
          <w:rFonts w:hint="eastAsia" w:ascii="楷体_GB2312" w:hAnsi="楷体_GB2312" w:eastAsia="楷体_GB2312" w:cs="楷体_GB2312"/>
          <w:b w:val="0"/>
          <w:bCs w:val="0"/>
          <w:i w:val="0"/>
          <w:caps w:val="0"/>
          <w:color w:val="000000"/>
          <w:spacing w:val="0"/>
          <w:w w:val="100"/>
          <w:kern w:val="0"/>
          <w:sz w:val="28"/>
          <w:szCs w:val="28"/>
          <w:lang w:val="en-US" w:eastAsia="zh-CN"/>
        </w:rPr>
        <w:t>单位：元/株</w:t>
      </w:r>
    </w:p>
    <w:tbl>
      <w:tblPr>
        <w:tblStyle w:val="9"/>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2"/>
        <w:gridCol w:w="738"/>
        <w:gridCol w:w="1188"/>
        <w:gridCol w:w="1630"/>
        <w:gridCol w:w="1731"/>
        <w:gridCol w:w="1519"/>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1800" w:firstLineChars="750"/>
              <w:jc w:val="left"/>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2"/>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11430</wp:posOffset>
                      </wp:positionV>
                      <wp:extent cx="630555" cy="991235"/>
                      <wp:effectExtent l="3810" t="2540" r="13335" b="15875"/>
                      <wp:wrapNone/>
                      <wp:docPr id="2" name="直线 42"/>
                      <wp:cNvGraphicFramePr/>
                      <a:graphic xmlns:a="http://schemas.openxmlformats.org/drawingml/2006/main">
                        <a:graphicData uri="http://schemas.microsoft.com/office/word/2010/wordprocessingShape">
                          <wps:wsp>
                            <wps:cNvSpPr/>
                            <wps:spPr>
                              <a:xfrm>
                                <a:off x="0" y="0"/>
                                <a:ext cx="630555" cy="9912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0.25pt;margin-top:0.9pt;height:78.05pt;width:49.65pt;z-index:251660288;mso-width-relative:page;mso-height-relative:page;" filled="f" stroked="t" coordsize="21600,21600" o:gfxdata="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93pdR0wAA&#10;AAUBAAAPAAAAAAAAAAEAIAAAACIAAABkcnMvZG93bnJldi54bWxQSwECFAAUAAAACACHTuJAR/Ag&#10;E+oBAADgAwAADgAAAAAAAAABACAAAAAiAQAAZHJzL2Uyb0RvYy54bWxQSwUGAAAAAAYABgBZAQAA&#10;fgUAAAAA&#10;">
                      <v:fill on="f" focussize="0,0"/>
                      <v:stroke color="#000000" joinstyle="round"/>
                      <v:imagedata o:title=""/>
                      <o:lock v:ext="edit" aspectratio="f"/>
                    </v:line>
                  </w:pict>
                </mc:Fallback>
              </mc:AlternateContent>
            </w:r>
            <w:r>
              <w:rPr>
                <w:rStyle w:val="13"/>
                <w:rFonts w:hint="eastAsia" w:ascii="黑体" w:hAnsi="黑体" w:eastAsia="黑体" w:cs="黑体"/>
                <w:b w:val="0"/>
                <w:bCs w:val="0"/>
                <w:i w:val="0"/>
                <w:caps w:val="0"/>
                <w:color w:val="000000"/>
                <w:spacing w:val="0"/>
                <w:w w:val="100"/>
                <w:kern w:val="2"/>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11430</wp:posOffset>
                      </wp:positionV>
                      <wp:extent cx="1769110" cy="423545"/>
                      <wp:effectExtent l="1270" t="4445" r="1270" b="10160"/>
                      <wp:wrapNone/>
                      <wp:docPr id="3" name="直线 40"/>
                      <wp:cNvGraphicFramePr/>
                      <a:graphic xmlns:a="http://schemas.openxmlformats.org/drawingml/2006/main">
                        <a:graphicData uri="http://schemas.microsoft.com/office/word/2010/wordprocessingShape">
                          <wps:wsp>
                            <wps:cNvSpPr/>
                            <wps:spPr>
                              <a:xfrm>
                                <a:off x="0" y="0"/>
                                <a:ext cx="1769110" cy="4235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0.5pt;margin-top:0.9pt;height:33.35pt;width:139.3pt;z-index:251660288;mso-width-relative:page;mso-height-relative:page;" filled="f" stroked="t" coordsize="21600,21600" o:gfxdata="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i7LwfU&#10;AAAABgEAAA8AAAAAAAAAAQAgAAAAIgAAAGRycy9kb3ducmV2LnhtbFBLAQIUABQAAAAIAIdO4kDq&#10;8Xfm6wEAAOEDAAAOAAAAAAAAAAEAIAAAACMBAABkcnMvZTJvRG9jLnhtbFBLBQYAAAAABgAGAFkB&#10;AACABQAAAAA=&#10;">
                      <v:fill on="f" focussize="0,0"/>
                      <v:stroke color="#000000" joinstyle="round"/>
                      <v:imagedata o:title=""/>
                      <o:lock v:ext="edit" aspectratio="f"/>
                    </v:line>
                  </w:pict>
                </mc:Fallback>
              </mc:AlternateContent>
            </w:r>
            <w:r>
              <w:rPr>
                <w:rStyle w:val="13"/>
                <w:rFonts w:hint="eastAsia" w:ascii="黑体" w:hAnsi="黑体" w:eastAsia="黑体" w:cs="黑体"/>
                <w:b w:val="0"/>
                <w:bCs w:val="0"/>
                <w:i w:val="0"/>
                <w:caps w:val="0"/>
                <w:color w:val="000000"/>
                <w:spacing w:val="0"/>
                <w:w w:val="100"/>
                <w:kern w:val="2"/>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10795</wp:posOffset>
                      </wp:positionV>
                      <wp:extent cx="1522730" cy="985520"/>
                      <wp:effectExtent l="2540" t="3810" r="17780" b="20320"/>
                      <wp:wrapNone/>
                      <wp:docPr id="4" name="直线 41"/>
                      <wp:cNvGraphicFramePr/>
                      <a:graphic xmlns:a="http://schemas.openxmlformats.org/drawingml/2006/main">
                        <a:graphicData uri="http://schemas.microsoft.com/office/word/2010/wordprocessingShape">
                          <wps:wsp>
                            <wps:cNvSpPr/>
                            <wps:spPr>
                              <a:xfrm>
                                <a:off x="0" y="0"/>
                                <a:ext cx="1522730" cy="9855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0.1pt;margin-top:0.85pt;height:77.6pt;width:119.9pt;z-index:251660288;mso-width-relative:page;mso-height-relative:page;" filled="f" stroked="t" coordsize="21600,21600" o:gfxdata="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hud&#10;PtQAAAAGAQAADwAAAAAAAAABACAAAAAiAAAAZHJzL2Rvd25yZXYueG1sUEsBAhQAFAAAAAgAh07i&#10;QHm8KjbtAQAA4QMAAA4AAAAAAAAAAQAgAAAAIwEAAGRycy9lMm9Eb2MueG1sUEsFBgAAAAAGAAYA&#10;WQEAAIIFAAAAAA==&#10;">
                      <v:fill on="f" focussize="0,0"/>
                      <v:stroke color="#000000" joinstyle="round"/>
                      <v:imagedata o:title=""/>
                      <o:lock v:ext="edit" aspectratio="f"/>
                    </v:line>
                  </w:pict>
                </mc:Fallback>
              </mc:AlternateContent>
            </w:r>
            <w:r>
              <w:rPr>
                <w:rStyle w:val="13"/>
                <w:rFonts w:hint="eastAsia" w:ascii="黑体" w:hAnsi="黑体" w:eastAsia="黑体" w:cs="黑体"/>
                <w:b w:val="0"/>
                <w:bCs w:val="0"/>
                <w:i w:val="0"/>
                <w:caps w:val="0"/>
                <w:color w:val="000000"/>
                <w:spacing w:val="0"/>
                <w:w w:val="100"/>
                <w:kern w:val="0"/>
                <w:sz w:val="24"/>
                <w:szCs w:val="24"/>
                <w:lang w:val="en-US" w:eastAsia="zh-CN" w:bidi="ar-SA"/>
              </w:rPr>
              <w:t>果  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1200" w:firstLineChars="500"/>
              <w:jc w:val="left"/>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类</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240" w:firstLineChars="100"/>
              <w:jc w:val="left"/>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种  金      别</w:t>
            </w:r>
          </w:p>
          <w:p>
            <w:pPr>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240" w:firstLineChars="100"/>
              <w:jc w:val="left"/>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类     额</w:t>
            </w:r>
          </w:p>
        </w:tc>
        <w:tc>
          <w:tcPr>
            <w:tcW w:w="1630"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幼  树</w:t>
            </w:r>
          </w:p>
        </w:tc>
        <w:tc>
          <w:tcPr>
            <w:tcW w:w="4572"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成      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63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挂果前</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盛果期</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衰老期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脐橙</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140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柑桔</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26</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梨、桃、李、梅、</w:t>
            </w:r>
          </w:p>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枇杷、石榴</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26</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柚、板栗、核桃</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酸枣、臭柑</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枣、柿、山楂</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8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葡萄</w:t>
            </w:r>
          </w:p>
        </w:tc>
        <w:tc>
          <w:tcPr>
            <w:tcW w:w="192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（零星种植的）</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45</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90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87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92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（专业葡萄园）</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55</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油  茶</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20</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32</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60</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279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油  桐</w:t>
            </w:r>
          </w:p>
        </w:tc>
        <w:tc>
          <w:tcPr>
            <w:tcW w:w="16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26</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45</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72</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0" w:hRule="atLeast"/>
          <w:jc w:val="center"/>
        </w:trPr>
        <w:tc>
          <w:tcPr>
            <w:tcW w:w="161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说明</w:t>
            </w:r>
          </w:p>
        </w:tc>
        <w:tc>
          <w:tcPr>
            <w:tcW w:w="739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1.成片脐橙园地按80株/亩计算；成片桔园园地按70株/亩计算；成片葡萄园地按80株/亩计算；其它成片果树类园地按70株/亩计算。成片油茶树按90株/亩计算。</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2.经省级农业部门批准的优质果树经济林基地,可适当提高标准，但最多不超过20%。</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3.其他水果参照梨、桃标准进行补偿。</w:t>
            </w:r>
          </w:p>
        </w:tc>
      </w:tr>
    </w:tbl>
    <w:p>
      <w:pPr>
        <w:widowControl/>
        <w:snapToGrid/>
        <w:spacing w:before="0" w:beforeAutospacing="0" w:after="0" w:afterAutospacing="0" w:line="419" w:lineRule="exact"/>
        <w:ind w:right="-361"/>
        <w:jc w:val="left"/>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ascii="Times New Roman" w:hAnsi="Times New Roman" w:eastAsia="黑体"/>
          <w:b w:val="0"/>
          <w:bCs w:val="0"/>
          <w:i w:val="0"/>
          <w:caps w:val="0"/>
          <w:color w:val="000000"/>
          <w:spacing w:val="0"/>
          <w:w w:val="100"/>
          <w:kern w:val="0"/>
          <w:sz w:val="32"/>
          <w:szCs w:val="32"/>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附件5</w:t>
      </w:r>
    </w:p>
    <w:p>
      <w:pPr>
        <w:widowControl/>
        <w:shd w:val="clear" w:color="auto" w:fill="FFFFFF"/>
        <w:snapToGrid/>
        <w:spacing w:before="156" w:beforeAutospacing="0" w:after="0" w:afterAutospacing="0" w:line="58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成片林、疏林、零星树木、竹类及</w:t>
      </w:r>
    </w:p>
    <w:p>
      <w:pPr>
        <w:widowControl/>
        <w:shd w:val="clear" w:color="auto" w:fill="FFFFFF"/>
        <w:snapToGrid/>
        <w:spacing w:before="0" w:beforeAutospacing="0" w:after="156" w:afterAutospacing="0" w:line="58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经农林部门批准的苗木苗圃青苗补偿标准</w:t>
      </w:r>
    </w:p>
    <w:p>
      <w:pPr>
        <w:widowControl/>
        <w:shd w:val="clear" w:color="auto" w:fill="FFFFFF"/>
        <w:wordWrap w:val="0"/>
        <w:snapToGrid/>
        <w:spacing w:before="0" w:beforeAutospacing="0" w:after="0" w:afterAutospacing="0" w:line="480" w:lineRule="exact"/>
        <w:jc w:val="right"/>
        <w:textAlignment w:val="baseline"/>
        <w:rPr>
          <w:rStyle w:val="13"/>
          <w:rFonts w:hint="default" w:ascii="Times New Roman" w:hAnsi="Times New Roman" w:eastAsia="楷体_GB2312"/>
          <w:b w:val="0"/>
          <w:bCs w:val="0"/>
          <w:i w:val="0"/>
          <w:caps w:val="0"/>
          <w:color w:val="000000"/>
          <w:spacing w:val="0"/>
          <w:w w:val="100"/>
          <w:kern w:val="0"/>
          <w:sz w:val="21"/>
          <w:szCs w:val="32"/>
          <w:lang w:val="en-US" w:eastAsia="zh-CN" w:bidi="ar-SA"/>
        </w:rPr>
      </w:pPr>
      <w:r>
        <w:rPr>
          <w:rStyle w:val="13"/>
          <w:rFonts w:hint="eastAsia" w:ascii="楷体_GB2312" w:hAnsi="楷体_GB2312" w:eastAsia="楷体_GB2312" w:cs="楷体_GB2312"/>
          <w:b w:val="0"/>
          <w:bCs w:val="0"/>
          <w:i w:val="0"/>
          <w:caps w:val="0"/>
          <w:color w:val="000000"/>
          <w:spacing w:val="0"/>
          <w:w w:val="100"/>
          <w:kern w:val="0"/>
          <w:sz w:val="28"/>
          <w:szCs w:val="28"/>
          <w:lang w:val="en-US" w:eastAsia="zh-CN"/>
        </w:rPr>
        <w:t>单位：元/株</w:t>
      </w:r>
      <w:r>
        <w:rPr>
          <w:rStyle w:val="13"/>
          <w:rFonts w:hint="eastAsia" w:ascii="Times New Roman" w:hAnsi="Times New Roman" w:eastAsia="楷体_GB2312"/>
          <w:b w:val="0"/>
          <w:bCs w:val="0"/>
          <w:i w:val="0"/>
          <w:caps w:val="0"/>
          <w:color w:val="000000"/>
          <w:spacing w:val="0"/>
          <w:w w:val="100"/>
          <w:kern w:val="0"/>
          <w:sz w:val="21"/>
          <w:szCs w:val="32"/>
          <w:lang w:val="en-US" w:eastAsia="zh-CN" w:bidi="ar-SA"/>
        </w:rPr>
        <w:t xml:space="preserve">    </w:t>
      </w:r>
    </w:p>
    <w:tbl>
      <w:tblPr>
        <w:tblStyle w:val="9"/>
        <w:tblW w:w="94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2"/>
        <w:gridCol w:w="1360"/>
        <w:gridCol w:w="69"/>
        <w:gridCol w:w="336"/>
        <w:gridCol w:w="774"/>
        <w:gridCol w:w="1086"/>
        <w:gridCol w:w="51"/>
        <w:gridCol w:w="1146"/>
        <w:gridCol w:w="708"/>
        <w:gridCol w:w="456"/>
        <w:gridCol w:w="1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2182" w:type="dxa"/>
            <w:vMerge w:val="restart"/>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1470" w:firstLineChars="700"/>
              <w:jc w:val="left"/>
              <w:textAlignment w:val="baseline"/>
              <w:rPr>
                <w:rFonts w:hint="eastAsia" w:ascii="黑体" w:hAnsi="黑体" w:eastAsia="黑体" w:cs="黑体"/>
                <w:lang w:val="en-US" w:eastAsia="zh-CN"/>
              </w:rPr>
            </w:pPr>
            <w:r>
              <w:rPr>
                <w:rFonts w:hint="eastAsia" w:ascii="黑体" w:hAnsi="黑体" w:eastAsia="黑体" w:cs="黑体"/>
                <w:lang w:val="en-US" w:eastAsia="zh-CN"/>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8890</wp:posOffset>
                      </wp:positionV>
                      <wp:extent cx="1369060" cy="584200"/>
                      <wp:effectExtent l="1905" t="4445" r="19685" b="20955"/>
                      <wp:wrapNone/>
                      <wp:docPr id="1" name="直线 36"/>
                      <wp:cNvGraphicFramePr/>
                      <a:graphic xmlns:a="http://schemas.openxmlformats.org/drawingml/2006/main">
                        <a:graphicData uri="http://schemas.microsoft.com/office/word/2010/wordprocessingShape">
                          <wps:wsp>
                            <wps:cNvSpPr/>
                            <wps:spPr>
                              <a:xfrm>
                                <a:off x="0" y="0"/>
                                <a:ext cx="1369060" cy="584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1.6pt;margin-top:0.7pt;height:46pt;width:107.8pt;z-index:251659264;mso-width-relative:page;mso-height-relative:page;" filled="f" stroked="t" coordsize="21600,21600" o:gfxdata="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SLS&#10;1QAAAAYBAAAPAAAAAAAAAAEAIAAAACIAAABkcnMvZG93bnJldi54bWxQSwECFAAUAAAACACHTuJA&#10;P2kHQ+sBAADhAwAADgAAAAAAAAABACAAAAAkAQAAZHJzL2Uyb0RvYy54bWxQSwUGAAAAAAYABgBZ&#10;AQAAgQUAAAAA&#10;">
                      <v:fill on="f" focussize="0,0"/>
                      <v:stroke color="#000000" joinstyle="round"/>
                      <v:imagedata o:title=""/>
                      <o:lock v:ext="edit" aspectratio="f"/>
                    </v:line>
                  </w:pict>
                </mc:Fallback>
              </mc:AlternateContent>
            </w:r>
            <w:r>
              <w:rPr>
                <w:rFonts w:hint="eastAsia" w:ascii="黑体" w:hAnsi="黑体" w:eastAsia="黑体" w:cs="黑体"/>
                <w:lang w:val="en-US" w:eastAsia="zh-CN"/>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6350</wp:posOffset>
                      </wp:positionV>
                      <wp:extent cx="765810" cy="759460"/>
                      <wp:effectExtent l="3175" t="3175" r="12065" b="18415"/>
                      <wp:wrapNone/>
                      <wp:docPr id="5" name="直线 37"/>
                      <wp:cNvGraphicFramePr/>
                      <a:graphic xmlns:a="http://schemas.openxmlformats.org/drawingml/2006/main">
                        <a:graphicData uri="http://schemas.microsoft.com/office/word/2010/wordprocessingShape">
                          <wps:wsp>
                            <wps:cNvSpPr/>
                            <wps:spPr>
                              <a:xfrm>
                                <a:off x="0" y="0"/>
                                <a:ext cx="765810" cy="7594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0.65pt;margin-top:0.5pt;height:59.8pt;width:60.3pt;z-index:251660288;mso-width-relative:page;mso-height-relative:page;" filled="f" stroked="t" coordsize="21600,21600" o:gfxdata="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geG&#10;WdMAAAAHAQAADwAAAAAAAAABACAAAAAiAAAAZHJzL2Rvd25yZXYueG1sUEsBAhQAFAAAAAgAh07i&#10;QH2kcWvuAQAA4AMAAA4AAAAAAAAAAQAgAAAAIgEAAGRycy9lMm9Eb2MueG1sUEsFBgAAAAAGAAYA&#10;WQEAAIIFAAAAAA==&#10;">
                      <v:fill on="f" focussize="0,0"/>
                      <v:stroke color="#000000" joinstyle="round"/>
                      <v:imagedata o:title=""/>
                      <o:lock v:ext="edit" aspectratio="f"/>
                    </v:line>
                  </w:pict>
                </mc:Fallback>
              </mc:AlternateContent>
            </w:r>
            <w:r>
              <w:rPr>
                <w:rFonts w:hint="eastAsia" w:ascii="黑体" w:hAnsi="黑体" w:eastAsia="黑体" w:cs="黑体"/>
                <w:lang w:val="en-US" w:eastAsia="zh-CN"/>
              </w:rPr>
              <w:t>规格</w:t>
            </w:r>
          </w:p>
          <w:p>
            <w:pPr>
              <w:pStyle w:val="6"/>
              <w:keepNext w:val="0"/>
              <w:keepLines w:val="0"/>
              <w:pageBreakBefore w:val="0"/>
              <w:widowControl/>
              <w:kinsoku/>
              <w:wordWrap/>
              <w:overflowPunct/>
              <w:topLinePunct w:val="0"/>
              <w:autoSpaceDE/>
              <w:autoSpaceDN/>
              <w:bidi w:val="0"/>
              <w:adjustRightInd/>
              <w:snapToGrid/>
              <w:spacing w:line="500" w:lineRule="exact"/>
              <w:ind w:left="63" w:leftChars="30" w:firstLine="840" w:firstLineChars="400"/>
              <w:textAlignment w:val="baseline"/>
              <w:rPr>
                <w:rStyle w:val="13"/>
                <w:rFonts w:hint="eastAsia" w:ascii="黑体" w:hAnsi="黑体" w:eastAsia="黑体" w:cs="黑体"/>
                <w:b w:val="0"/>
                <w:bCs w:val="0"/>
                <w:i w:val="0"/>
                <w:caps w:val="0"/>
                <w:color w:val="000000"/>
                <w:spacing w:val="0"/>
                <w:w w:val="100"/>
                <w:kern w:val="0"/>
                <w:sz w:val="21"/>
                <w:szCs w:val="21"/>
                <w:lang w:val="en-US" w:eastAsia="zh-CN" w:bidi="ar-SA"/>
              </w:rPr>
            </w:pPr>
            <w:r>
              <w:rPr>
                <w:rStyle w:val="13"/>
                <w:rFonts w:hint="eastAsia" w:ascii="黑体" w:hAnsi="黑体" w:eastAsia="黑体" w:cs="黑体"/>
                <w:b w:val="0"/>
                <w:bCs w:val="0"/>
                <w:i w:val="0"/>
                <w:caps w:val="0"/>
                <w:color w:val="000000"/>
                <w:spacing w:val="0"/>
                <w:w w:val="100"/>
                <w:kern w:val="0"/>
                <w:sz w:val="21"/>
                <w:szCs w:val="21"/>
                <w:lang w:val="en-US" w:eastAsia="zh-CN" w:bidi="ar-SA"/>
              </w:rPr>
              <w:t>金额</w:t>
            </w:r>
          </w:p>
          <w:p>
            <w:pPr>
              <w:pStyle w:val="6"/>
              <w:keepNext w:val="0"/>
              <w:keepLines w:val="0"/>
              <w:pageBreakBefore w:val="0"/>
              <w:widowControl/>
              <w:kinsoku/>
              <w:wordWrap/>
              <w:overflowPunct/>
              <w:topLinePunct w:val="0"/>
              <w:autoSpaceDE/>
              <w:autoSpaceDN/>
              <w:bidi w:val="0"/>
              <w:adjustRightInd/>
              <w:snapToGrid/>
              <w:spacing w:line="260" w:lineRule="exact"/>
              <w:ind w:left="0" w:leftChars="0" w:firstLine="0" w:firstLineChars="0"/>
              <w:textAlignment w:val="baseline"/>
              <w:rPr>
                <w:rStyle w:val="13"/>
                <w:rFonts w:hint="eastAsia" w:ascii="黑体" w:hAnsi="黑体" w:eastAsia="黑体" w:cs="黑体"/>
                <w:b w:val="0"/>
                <w:bCs w:val="0"/>
                <w:i w:val="0"/>
                <w:caps w:val="0"/>
                <w:color w:val="000000"/>
                <w:spacing w:val="0"/>
                <w:w w:val="100"/>
                <w:kern w:val="0"/>
                <w:sz w:val="21"/>
                <w:szCs w:val="21"/>
                <w:lang w:val="en-US" w:eastAsia="zh-CN" w:bidi="ar-SA"/>
              </w:rPr>
            </w:pPr>
            <w:r>
              <w:rPr>
                <w:rStyle w:val="13"/>
                <w:rFonts w:hint="eastAsia" w:ascii="黑体" w:hAnsi="黑体" w:eastAsia="黑体" w:cs="黑体"/>
                <w:b w:val="0"/>
                <w:bCs w:val="0"/>
                <w:i w:val="0"/>
                <w:caps w:val="0"/>
                <w:color w:val="000000"/>
                <w:spacing w:val="0"/>
                <w:w w:val="100"/>
                <w:kern w:val="0"/>
                <w:sz w:val="21"/>
                <w:szCs w:val="21"/>
                <w:lang w:val="en-US" w:eastAsia="zh-CN" w:bidi="ar-SA"/>
              </w:rPr>
              <w:t xml:space="preserve">  种类</w:t>
            </w:r>
          </w:p>
        </w:tc>
        <w:tc>
          <w:tcPr>
            <w:tcW w:w="3676" w:type="dxa"/>
            <w:gridSpan w:val="6"/>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1160" w:hanging="84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苗高（幼树）</w:t>
            </w:r>
          </w:p>
        </w:tc>
        <w:tc>
          <w:tcPr>
            <w:tcW w:w="3601"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1160" w:hanging="84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胸围（成树）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218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left"/>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p>
        </w:tc>
        <w:tc>
          <w:tcPr>
            <w:tcW w:w="136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0.6米以下</w:t>
            </w:r>
          </w:p>
        </w:tc>
        <w:tc>
          <w:tcPr>
            <w:tcW w:w="117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0.6-2米</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2米以上</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20-30</w:t>
            </w:r>
          </w:p>
          <w:p>
            <w:pPr>
              <w:widowControl/>
              <w:snapToGrid/>
              <w:spacing w:before="0" w:beforeAutospacing="0" w:after="0" w:afterAutospacing="0" w:line="30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公分</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30-40</w:t>
            </w:r>
          </w:p>
          <w:p>
            <w:pPr>
              <w:widowControl/>
              <w:snapToGrid/>
              <w:spacing w:before="0" w:beforeAutospacing="0" w:after="0" w:afterAutospacing="0" w:line="30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公分</w:t>
            </w:r>
          </w:p>
        </w:tc>
        <w:tc>
          <w:tcPr>
            <w:tcW w:w="129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40公分</w:t>
            </w:r>
          </w:p>
          <w:p>
            <w:pPr>
              <w:widowControl/>
              <w:snapToGrid/>
              <w:spacing w:before="0" w:beforeAutospacing="0" w:after="0" w:afterAutospacing="0" w:line="30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28"/>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杉、柏、松、</w:t>
            </w:r>
          </w:p>
          <w:p>
            <w:pPr>
              <w:widowControl/>
              <w:snapToGrid/>
              <w:spacing w:before="0" w:beforeAutospacing="0" w:after="0" w:afterAutospacing="0" w:line="300" w:lineRule="exact"/>
              <w:ind w:left="28"/>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梓、楠、香椿</w:t>
            </w:r>
          </w:p>
        </w:tc>
        <w:tc>
          <w:tcPr>
            <w:tcW w:w="13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w:t>
            </w:r>
          </w:p>
        </w:tc>
        <w:tc>
          <w:tcPr>
            <w:tcW w:w="117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10</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20</w:t>
            </w:r>
          </w:p>
        </w:tc>
        <w:tc>
          <w:tcPr>
            <w:tcW w:w="11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40</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50</w:t>
            </w:r>
          </w:p>
        </w:tc>
        <w:tc>
          <w:tcPr>
            <w:tcW w:w="129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桐、苦楝、杂树</w:t>
            </w:r>
          </w:p>
        </w:tc>
        <w:tc>
          <w:tcPr>
            <w:tcW w:w="13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w:t>
            </w:r>
          </w:p>
        </w:tc>
        <w:tc>
          <w:tcPr>
            <w:tcW w:w="117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10</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20</w:t>
            </w:r>
          </w:p>
        </w:tc>
        <w:tc>
          <w:tcPr>
            <w:tcW w:w="11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30</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40</w:t>
            </w:r>
          </w:p>
        </w:tc>
        <w:tc>
          <w:tcPr>
            <w:tcW w:w="129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樟树、玉兰</w:t>
            </w:r>
          </w:p>
        </w:tc>
        <w:tc>
          <w:tcPr>
            <w:tcW w:w="13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w:t>
            </w:r>
          </w:p>
        </w:tc>
        <w:tc>
          <w:tcPr>
            <w:tcW w:w="117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15</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35</w:t>
            </w:r>
          </w:p>
        </w:tc>
        <w:tc>
          <w:tcPr>
            <w:tcW w:w="11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100</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200</w:t>
            </w:r>
          </w:p>
        </w:tc>
        <w:tc>
          <w:tcPr>
            <w:tcW w:w="129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桂花树</w:t>
            </w:r>
          </w:p>
        </w:tc>
        <w:tc>
          <w:tcPr>
            <w:tcW w:w="13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w:t>
            </w:r>
          </w:p>
        </w:tc>
        <w:tc>
          <w:tcPr>
            <w:tcW w:w="1179"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30</w:t>
            </w: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100</w:t>
            </w:r>
          </w:p>
        </w:tc>
        <w:tc>
          <w:tcPr>
            <w:tcW w:w="11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200</w:t>
            </w:r>
          </w:p>
        </w:tc>
        <w:tc>
          <w:tcPr>
            <w:tcW w:w="1164"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300</w:t>
            </w:r>
          </w:p>
        </w:tc>
        <w:tc>
          <w:tcPr>
            <w:tcW w:w="129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植树造林</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1年内不按苗高补偿，每亩补偿造林费1500元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灌木林</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每亩补500元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楠竹（按胸围计）</w:t>
            </w:r>
          </w:p>
        </w:tc>
        <w:tc>
          <w:tcPr>
            <w:tcW w:w="176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10-20公分</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20-25公分</w:t>
            </w:r>
          </w:p>
        </w:tc>
        <w:tc>
          <w:tcPr>
            <w:tcW w:w="190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25-30公分</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30公分以上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76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w:t>
            </w:r>
          </w:p>
        </w:tc>
        <w:tc>
          <w:tcPr>
            <w:tcW w:w="1905"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20</w:t>
            </w:r>
          </w:p>
        </w:tc>
        <w:tc>
          <w:tcPr>
            <w:tcW w:w="17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水竹、丛竹</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70" w:firstLine="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1500元/亩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成片林地</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70" w:firstLine="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8000元/亩（按标准密度达到60%以上的）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疏林地</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70" w:firstLine="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3000元/亩（按标准密度在60%以下的）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218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经农林部门批准的</w:t>
            </w:r>
          </w:p>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苗木、苗圃(花卉)</w:t>
            </w: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幼苗期</w:t>
            </w:r>
          </w:p>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12000元/亩</w:t>
            </w:r>
          </w:p>
        </w:tc>
        <w:tc>
          <w:tcPr>
            <w:tcW w:w="5848"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该标准含移栽、场地租赁和损耗等一切费用。按每亩1000株计算，每缺少100株，核减1200元/亩。每亩超过1000株的，超过部分不增加补偿。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218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成长期</w:t>
            </w:r>
          </w:p>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15000元/亩</w:t>
            </w:r>
          </w:p>
        </w:tc>
        <w:tc>
          <w:tcPr>
            <w:tcW w:w="5848"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该标准含移栽、场地租赁和损耗等一切费用。按每亩600株计算，每缺少60株，核减1500元/亩。每亩超过600株的，超过部分不增加补偿。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218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4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成型(熟)期</w:t>
            </w:r>
          </w:p>
          <w:p>
            <w:pPr>
              <w:widowControl/>
              <w:snapToGrid/>
              <w:spacing w:before="0" w:beforeAutospacing="0" w:after="0" w:afterAutospacing="0" w:line="30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18000元/亩</w:t>
            </w:r>
          </w:p>
        </w:tc>
        <w:tc>
          <w:tcPr>
            <w:tcW w:w="5848"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该标准含移栽、场地租赁和损耗等一切费用。按每亩200株计算，每缺少20株，核减1800元/亩。每亩超过200株的，超过部分不增加补偿。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3" w:hRule="atLeas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ind w:left="31"/>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说  明</w:t>
            </w:r>
          </w:p>
        </w:tc>
        <w:tc>
          <w:tcPr>
            <w:tcW w:w="7277"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1.各种树木从根部分支生长的按一株补偿。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2.珍稀名贵树木按国家有关规定处理。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3.盆栽苗木、花卉不予补偿。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113" w:firstLine="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4.抢栽、抢种的不予补偿。</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left"/>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ascii="Times New Roman" w:hAnsi="Times New Roman" w:eastAsia="黑体"/>
          <w:b w:val="0"/>
          <w:bCs w:val="0"/>
          <w:i w:val="0"/>
          <w:caps w:val="0"/>
          <w:color w:val="000000"/>
          <w:spacing w:val="0"/>
          <w:w w:val="100"/>
          <w:kern w:val="0"/>
          <w:sz w:val="32"/>
          <w:szCs w:val="32"/>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附件6</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茶叶青苗补偿标准</w:t>
      </w:r>
    </w:p>
    <w:p>
      <w:pPr>
        <w:widowControl/>
        <w:shd w:val="clear" w:color="auto" w:fill="FFFFFF"/>
        <w:wordWrap w:val="0"/>
        <w:snapToGrid/>
        <w:spacing w:before="0" w:beforeAutospacing="0" w:after="0" w:afterAutospacing="0" w:line="480" w:lineRule="exact"/>
        <w:jc w:val="right"/>
        <w:textAlignment w:val="baseline"/>
        <w:rPr>
          <w:rStyle w:val="13"/>
          <w:rFonts w:hint="default" w:ascii="楷体_GB2312" w:hAnsi="楷体_GB2312" w:eastAsia="楷体_GB2312" w:cs="楷体_GB2312"/>
          <w:b w:val="0"/>
          <w:bCs w:val="0"/>
          <w:i w:val="0"/>
          <w:caps w:val="0"/>
          <w:color w:val="000000"/>
          <w:spacing w:val="0"/>
          <w:w w:val="100"/>
          <w:kern w:val="0"/>
          <w:sz w:val="28"/>
          <w:szCs w:val="28"/>
          <w:lang w:val="en-US" w:eastAsia="zh-CN"/>
        </w:rPr>
      </w:pPr>
      <w:r>
        <w:rPr>
          <w:rStyle w:val="13"/>
          <w:rFonts w:hint="eastAsia" w:ascii="楷体_GB2312" w:hAnsi="楷体_GB2312" w:eastAsia="楷体_GB2312" w:cs="楷体_GB2312"/>
          <w:b w:val="0"/>
          <w:bCs w:val="0"/>
          <w:i w:val="0"/>
          <w:caps w:val="0"/>
          <w:color w:val="000000"/>
          <w:spacing w:val="0"/>
          <w:w w:val="100"/>
          <w:kern w:val="0"/>
          <w:sz w:val="28"/>
          <w:szCs w:val="28"/>
          <w:lang w:val="en-US" w:eastAsia="zh-CN"/>
        </w:rPr>
        <w:t xml:space="preserve">单位：元/亩   </w:t>
      </w:r>
    </w:p>
    <w:tbl>
      <w:tblPr>
        <w:tblStyle w:val="9"/>
        <w:tblW w:w="98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3"/>
        <w:gridCol w:w="2351"/>
        <w:gridCol w:w="2310"/>
        <w:gridCol w:w="1167"/>
        <w:gridCol w:w="1205"/>
        <w:gridCol w:w="1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生长期</w:t>
            </w:r>
          </w:p>
        </w:tc>
        <w:tc>
          <w:tcPr>
            <w:tcW w:w="23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苗期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（栽种1年内）</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firstLine="23"/>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定植管理期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firstLine="23"/>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（第2年至采茶）</w:t>
            </w:r>
          </w:p>
        </w:tc>
        <w:tc>
          <w:tcPr>
            <w:tcW w:w="11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采茶期</w:t>
            </w:r>
          </w:p>
        </w:tc>
        <w:tc>
          <w:tcPr>
            <w:tcW w:w="1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盛产期</w:t>
            </w: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衰老期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补偿金额</w:t>
            </w:r>
          </w:p>
        </w:tc>
        <w:tc>
          <w:tcPr>
            <w:tcW w:w="23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550</w:t>
            </w:r>
          </w:p>
        </w:tc>
        <w:tc>
          <w:tcPr>
            <w:tcW w:w="23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900</w:t>
            </w:r>
          </w:p>
        </w:tc>
        <w:tc>
          <w:tcPr>
            <w:tcW w:w="11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1700</w:t>
            </w:r>
          </w:p>
        </w:tc>
        <w:tc>
          <w:tcPr>
            <w:tcW w:w="12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2300</w:t>
            </w:r>
          </w:p>
        </w:tc>
        <w:tc>
          <w:tcPr>
            <w:tcW w:w="13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14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32"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说  明</w:t>
            </w:r>
          </w:p>
        </w:tc>
        <w:tc>
          <w:tcPr>
            <w:tcW w:w="838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left="42" w:leftChars="20" w:right="42" w:rightChars="20"/>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零星茶叶，苗期每株5元、定植期每株10元、采茶后每株15元。</w:t>
            </w:r>
          </w:p>
        </w:tc>
      </w:tr>
    </w:tbl>
    <w:p>
      <w:pPr>
        <w:widowControl/>
        <w:snapToGrid/>
        <w:spacing w:before="0" w:beforeAutospacing="0" w:after="0" w:afterAutospacing="0" w:line="419" w:lineRule="exact"/>
        <w:ind w:right="-361"/>
        <w:jc w:val="left"/>
        <w:textAlignment w:val="baseline"/>
        <w:rPr>
          <w:rStyle w:val="13"/>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3"/>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3"/>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3"/>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3"/>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3"/>
          <w:rFonts w:ascii="Times New Roman" w:hAnsi="Times New Roman" w:eastAsia="黑体"/>
          <w:b w:val="0"/>
          <w:bCs w:val="0"/>
          <w:i w:val="0"/>
          <w:caps w:val="0"/>
          <w:color w:val="000000"/>
          <w:spacing w:val="0"/>
          <w:w w:val="100"/>
          <w:kern w:val="0"/>
          <w:sz w:val="32"/>
          <w:szCs w:val="32"/>
          <w:lang w:val="en-US" w:eastAsia="zh-CN" w:bidi="ar-SA"/>
        </w:rPr>
      </w:pPr>
    </w:p>
    <w:p>
      <w:pPr>
        <w:widowControl/>
        <w:snapToGrid/>
        <w:spacing w:before="0" w:beforeAutospacing="0" w:after="0" w:afterAutospacing="0" w:line="419" w:lineRule="exact"/>
        <w:ind w:right="-361"/>
        <w:jc w:val="left"/>
        <w:textAlignment w:val="baseline"/>
        <w:rPr>
          <w:rStyle w:val="13"/>
          <w:rFonts w:ascii="Times New Roman" w:hAnsi="Times New Roman" w:eastAsia="黑体"/>
          <w:b w:val="0"/>
          <w:bCs w:val="0"/>
          <w:i w:val="0"/>
          <w:caps w:val="0"/>
          <w:color w:val="000000"/>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jc w:val="left"/>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ascii="Times New Roman" w:hAnsi="Times New Roman" w:eastAsia="黑体"/>
          <w:b w:val="0"/>
          <w:bCs w:val="0"/>
          <w:i w:val="0"/>
          <w:caps w:val="0"/>
          <w:color w:val="000000"/>
          <w:spacing w:val="0"/>
          <w:w w:val="100"/>
          <w:kern w:val="0"/>
          <w:sz w:val="32"/>
          <w:szCs w:val="32"/>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附件7</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药材青苗补偿标准</w:t>
      </w:r>
    </w:p>
    <w:p>
      <w:pPr>
        <w:widowControl/>
        <w:shd w:val="clear" w:color="auto" w:fill="FFFFFF"/>
        <w:wordWrap w:val="0"/>
        <w:snapToGrid/>
        <w:spacing w:before="0" w:beforeAutospacing="0" w:after="0" w:afterAutospacing="0" w:line="480" w:lineRule="exact"/>
        <w:jc w:val="right"/>
        <w:textAlignment w:val="baseline"/>
        <w:rPr>
          <w:rStyle w:val="13"/>
          <w:rFonts w:hint="default" w:ascii="楷体_GB2312" w:hAnsi="楷体_GB2312" w:eastAsia="楷体_GB2312" w:cs="楷体_GB2312"/>
          <w:b w:val="0"/>
          <w:bCs w:val="0"/>
          <w:i w:val="0"/>
          <w:caps w:val="0"/>
          <w:color w:val="000000"/>
          <w:spacing w:val="0"/>
          <w:w w:val="100"/>
          <w:kern w:val="0"/>
          <w:sz w:val="28"/>
          <w:szCs w:val="28"/>
          <w:lang w:val="en-US" w:eastAsia="zh-CN"/>
        </w:rPr>
      </w:pPr>
      <w:r>
        <w:rPr>
          <w:rStyle w:val="13"/>
          <w:rFonts w:hint="eastAsia" w:ascii="楷体_GB2312" w:hAnsi="楷体_GB2312" w:eastAsia="楷体_GB2312" w:cs="楷体_GB2312"/>
          <w:b w:val="0"/>
          <w:bCs w:val="0"/>
          <w:i w:val="0"/>
          <w:caps w:val="0"/>
          <w:color w:val="000000"/>
          <w:spacing w:val="0"/>
          <w:w w:val="100"/>
          <w:kern w:val="0"/>
          <w:sz w:val="28"/>
          <w:szCs w:val="28"/>
          <w:lang w:val="en-US" w:eastAsia="zh-CN"/>
        </w:rPr>
        <w:t xml:space="preserve">单位：元/亩    </w:t>
      </w:r>
    </w:p>
    <w:tbl>
      <w:tblPr>
        <w:tblStyle w:val="9"/>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8"/>
        <w:gridCol w:w="2238"/>
        <w:gridCol w:w="2066"/>
        <w:gridCol w:w="2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1560" w:firstLineChars="650"/>
              <w:jc w:val="left"/>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2"/>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-2540</wp:posOffset>
                      </wp:positionV>
                      <wp:extent cx="1541145" cy="544830"/>
                      <wp:effectExtent l="1270" t="4445" r="19685" b="22225"/>
                      <wp:wrapNone/>
                      <wp:docPr id="6" name="直线 38"/>
                      <wp:cNvGraphicFramePr/>
                      <a:graphic xmlns:a="http://schemas.openxmlformats.org/drawingml/2006/main">
                        <a:graphicData uri="http://schemas.microsoft.com/office/word/2010/wordprocessingShape">
                          <wps:wsp>
                            <wps:cNvSpPr/>
                            <wps:spPr>
                              <a:xfrm>
                                <a:off x="0" y="0"/>
                                <a:ext cx="1541145" cy="5448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0.05pt;margin-top:-0.2pt;height:42.9pt;width:121.35pt;z-index:251660288;mso-width-relative:page;mso-height-relative:page;" filled="f" stroked="t" coordsize="21600,21600" o:gfxdata="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y&#10;kdQAAAAFAQAADwAAAAAAAAABACAAAAAiAAAAZHJzL2Rvd25yZXYueG1sUEsBAhQAFAAAAAgAh07i&#10;QLAvL7PtAQAA4QMAAA4AAAAAAAAAAQAgAAAAIwEAAGRycy9lMm9Eb2MueG1sUEsFBgAAAAAGAAYA&#10;WQEAAIIFAAAAAA==&#10;">
                      <v:fill on="f" focussize="0,0"/>
                      <v:stroke color="#000000" joinstyle="round"/>
                      <v:imagedata o:title=""/>
                      <o:lock v:ext="edit" aspectratio="f"/>
                    </v:line>
                  </w:pict>
                </mc:Fallback>
              </mc:AlternateContent>
            </w:r>
            <w:r>
              <w:rPr>
                <w:rStyle w:val="13"/>
                <w:rFonts w:hint="eastAsia" w:ascii="黑体" w:hAnsi="黑体" w:eastAsia="黑体" w:cs="黑体"/>
                <w:b w:val="0"/>
                <w:bCs w:val="0"/>
                <w:i w:val="0"/>
                <w:caps w:val="0"/>
                <w:color w:val="000000"/>
                <w:spacing w:val="0"/>
                <w:w w:val="100"/>
                <w:kern w:val="2"/>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6350</wp:posOffset>
                      </wp:positionV>
                      <wp:extent cx="648970" cy="783590"/>
                      <wp:effectExtent l="3810" t="3175" r="13970" b="13335"/>
                      <wp:wrapNone/>
                      <wp:docPr id="7" name="直线 39"/>
                      <wp:cNvGraphicFramePr/>
                      <a:graphic xmlns:a="http://schemas.openxmlformats.org/drawingml/2006/main">
                        <a:graphicData uri="http://schemas.microsoft.com/office/word/2010/wordprocessingShape">
                          <wps:wsp>
                            <wps:cNvSpPr/>
                            <wps:spPr>
                              <a:xfrm>
                                <a:off x="0" y="0"/>
                                <a:ext cx="648970" cy="7835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0.3pt;margin-top:0.5pt;height:61.7pt;width:51.1pt;z-index:251660288;mso-width-relative:page;mso-height-relative:page;" filled="f" stroked="t" coordsize="21600,21600" o:gfxdata="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Uc&#10;Bh/UAAAABgEAAA8AAAAAAAAAAQAgAAAAIgAAAGRycy9kb3ducmV2LnhtbFBLAQIUABQAAAAIAIdO&#10;4kDUzOsY7gEAAOADAAAOAAAAAAAAAAEAIAAAACMBAABkcnMvZTJvRG9jLnhtbFBLBQYAAAAABgAG&#10;AFkBAACDBQAAAAA=&#10;">
                      <v:fill on="f" focussize="0,0"/>
                      <v:stroke color="#000000" joinstyle="round"/>
                      <v:imagedata o:title=""/>
                      <o:lock v:ext="edit" aspectratio="f"/>
                    </v:line>
                  </w:pict>
                </mc:Fallback>
              </mc:AlternateContent>
            </w:r>
            <w:r>
              <w:rPr>
                <w:rStyle w:val="13"/>
                <w:rFonts w:hint="eastAsia" w:ascii="黑体" w:hAnsi="黑体" w:eastAsia="黑体" w:cs="黑体"/>
                <w:b w:val="0"/>
                <w:bCs w:val="0"/>
                <w:i w:val="0"/>
                <w:caps w:val="0"/>
                <w:color w:val="000000"/>
                <w:spacing w:val="0"/>
                <w:w w:val="100"/>
                <w:kern w:val="0"/>
                <w:sz w:val="24"/>
                <w:szCs w:val="24"/>
                <w:lang w:val="en-US" w:eastAsia="zh-CN" w:bidi="ar-SA"/>
              </w:rPr>
              <w:t>规格</w:t>
            </w:r>
          </w:p>
          <w:p>
            <w:pPr>
              <w:keepNext w:val="0"/>
              <w:keepLines w:val="0"/>
              <w:pageBreakBefore w:val="0"/>
              <w:widowControl/>
              <w:tabs>
                <w:tab w:val="left" w:pos="2202"/>
              </w:tabs>
              <w:kinsoku/>
              <w:wordWrap/>
              <w:overflowPunct/>
              <w:topLinePunct w:val="0"/>
              <w:autoSpaceDE/>
              <w:autoSpaceDN/>
              <w:bidi w:val="0"/>
              <w:adjustRightInd/>
              <w:snapToGrid/>
              <w:spacing w:before="95" w:beforeLines="30" w:beforeAutospacing="0" w:after="0" w:afterAutospacing="0" w:line="280" w:lineRule="exact"/>
              <w:jc w:val="left"/>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 xml:space="preserve">        补偿</w:t>
            </w:r>
          </w:p>
          <w:p>
            <w:pPr>
              <w:widowControl/>
              <w:tabs>
                <w:tab w:val="left" w:pos="2202"/>
              </w:tabs>
              <w:snapToGrid/>
              <w:spacing w:before="0" w:beforeAutospacing="0" w:after="0" w:afterAutospacing="0" w:line="280" w:lineRule="exact"/>
              <w:jc w:val="left"/>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 xml:space="preserve"> 名称    金额   </w:t>
            </w:r>
          </w:p>
        </w:tc>
        <w:tc>
          <w:tcPr>
            <w:tcW w:w="223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第一期</w:t>
            </w:r>
          </w:p>
        </w:tc>
        <w:tc>
          <w:tcPr>
            <w:tcW w:w="206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第二期</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第三期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3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下种到苗出土期</w:t>
            </w:r>
          </w:p>
        </w:tc>
        <w:tc>
          <w:tcPr>
            <w:tcW w:w="206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生长管理期</w:t>
            </w:r>
          </w:p>
        </w:tc>
        <w:tc>
          <w:tcPr>
            <w:tcW w:w="227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432"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接近收获期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半夏</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3300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4900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前胡</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1200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1600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白术</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3300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4700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黄柏</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1700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2100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荆芥</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1500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1900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桔梗</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1700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2100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南沙参</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1100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1400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百花蛇舌草</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1100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1400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栀子</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1000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川牛膝</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1900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3200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百合</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4300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5800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金银花</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1200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1700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玉竹</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4300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5800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黄花</w:t>
            </w:r>
          </w:p>
        </w:tc>
        <w:tc>
          <w:tcPr>
            <w:tcW w:w="22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1100</w:t>
            </w:r>
          </w:p>
        </w:tc>
        <w:tc>
          <w:tcPr>
            <w:tcW w:w="206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1400</w:t>
            </w:r>
          </w:p>
        </w:tc>
        <w:tc>
          <w:tcPr>
            <w:tcW w:w="22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1" w:hRule="atLeast"/>
          <w:jc w:val="center"/>
        </w:trPr>
        <w:tc>
          <w:tcPr>
            <w:tcW w:w="24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36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说明</w:t>
            </w:r>
          </w:p>
        </w:tc>
        <w:tc>
          <w:tcPr>
            <w:tcW w:w="658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1.成片种植的药材，区分不同的生长期予以补偿。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2.其他普通药材按1200-2200元/亩补偿，名贵药材（销售价格等于或高于白术、半夏价格的药材），按2800-5200元/亩补偿。</w:t>
            </w:r>
          </w:p>
        </w:tc>
      </w:tr>
    </w:tbl>
    <w:p>
      <w:pPr>
        <w:snapToGrid/>
        <w:spacing w:before="0" w:beforeAutospacing="0" w:after="0" w:afterAutospacing="0" w:line="20" w:lineRule="exact"/>
        <w:jc w:val="both"/>
        <w:textAlignment w:val="baseline"/>
        <w:rPr>
          <w:rStyle w:val="13"/>
          <w:rFonts w:ascii="Times New Roman" w:hAnsi="Times New Roman"/>
          <w:b w:val="0"/>
          <w:bCs w:val="0"/>
          <w:i w:val="0"/>
          <w:caps w:val="0"/>
          <w:color w:val="000000"/>
          <w:spacing w:val="0"/>
          <w:w w:val="100"/>
          <w:kern w:val="2"/>
          <w:sz w:val="21"/>
          <w:szCs w:val="24"/>
          <w:lang w:val="en-US" w:eastAsia="zh-CN" w:bidi="ar-SA"/>
        </w:rPr>
      </w:pPr>
    </w:p>
    <w:p>
      <w:pPr>
        <w:snapToGrid/>
        <w:spacing w:before="0" w:beforeAutospacing="0" w:after="0" w:afterAutospacing="0" w:line="20" w:lineRule="exact"/>
        <w:jc w:val="both"/>
        <w:textAlignment w:val="baseline"/>
        <w:rPr>
          <w:rStyle w:val="13"/>
          <w:rFonts w:ascii="Times New Roman" w:hAnsi="Times New Roman"/>
          <w:b w:val="0"/>
          <w:bCs w:val="0"/>
          <w:i w:val="0"/>
          <w:caps w:val="0"/>
          <w:color w:val="000000"/>
          <w:spacing w:val="0"/>
          <w:w w:val="100"/>
          <w:kern w:val="2"/>
          <w:sz w:val="21"/>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jc w:val="left"/>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hint="eastAsia" w:ascii="黑体" w:hAnsi="黑体" w:eastAsia="黑体" w:cs="黑体"/>
          <w:b w:val="0"/>
          <w:bCs w:val="0"/>
          <w:i w:val="0"/>
          <w:caps w:val="0"/>
          <w:color w:val="000000"/>
          <w:spacing w:val="0"/>
          <w:w w:val="100"/>
          <w:kern w:val="2"/>
          <w:sz w:val="32"/>
          <w:szCs w:val="32"/>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附件8</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157" w:afterLines="5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房屋室内装修和室外生产、生活设施补偿标准</w:t>
      </w:r>
    </w:p>
    <w:tbl>
      <w:tblPr>
        <w:tblStyle w:val="9"/>
        <w:tblW w:w="97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2762"/>
        <w:gridCol w:w="628"/>
        <w:gridCol w:w="1318"/>
        <w:gridCol w:w="4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blHeader/>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2"/>
                <w:sz w:val="24"/>
                <w:szCs w:val="24"/>
                <w:lang w:val="en-US" w:eastAsia="zh-CN" w:bidi="ar-SA"/>
              </w:rPr>
              <w:t>序号</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2"/>
                <w:sz w:val="24"/>
                <w:szCs w:val="24"/>
                <w:lang w:val="en-US" w:eastAsia="zh-CN" w:bidi="ar-SA"/>
              </w:rPr>
              <w:t>项目名称</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2"/>
                <w:sz w:val="24"/>
                <w:szCs w:val="24"/>
                <w:lang w:val="en-US" w:eastAsia="zh-CN" w:bidi="ar-SA"/>
              </w:rPr>
              <w:t>单位</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2"/>
                <w:sz w:val="24"/>
                <w:szCs w:val="24"/>
                <w:lang w:val="en-US" w:eastAsia="zh-CN" w:bidi="ar-SA"/>
              </w:rPr>
              <w:t>补偿金额（元）</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2"/>
                <w:sz w:val="24"/>
                <w:szCs w:val="24"/>
                <w:lang w:val="en-US" w:eastAsia="zh-CN" w:bidi="ar-SA"/>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复合地板</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木地板</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大地板砖</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m</w:t>
            </w:r>
            <w:r>
              <w:rPr>
                <w:rStyle w:val="13"/>
                <w:rFonts w:hint="eastAsia" w:ascii="仿宋_GB2312" w:hAnsi="仿宋_GB2312" w:eastAsia="仿宋_GB2312" w:cs="仿宋_GB2312"/>
                <w:b w:val="0"/>
                <w:bCs w:val="0"/>
                <w:i w:val="0"/>
                <w:caps w:val="0"/>
                <w:color w:val="000000"/>
                <w:spacing w:val="0"/>
                <w:w w:val="100"/>
                <w:kern w:val="0"/>
                <w:sz w:val="24"/>
                <w:szCs w:val="24"/>
                <w:vertAlign w:val="superscript"/>
                <w:lang w:val="en-US" w:eastAsia="zh-CN" w:bidi="ar-SA"/>
              </w:rPr>
              <w:t>2</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30cm×30cm以上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小地板砖</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m</w:t>
            </w:r>
            <w:r>
              <w:rPr>
                <w:rStyle w:val="13"/>
                <w:rFonts w:hint="eastAsia" w:ascii="仿宋_GB2312" w:hAnsi="仿宋_GB2312" w:eastAsia="仿宋_GB2312" w:cs="仿宋_GB2312"/>
                <w:b w:val="0"/>
                <w:bCs w:val="0"/>
                <w:i w:val="0"/>
                <w:caps w:val="0"/>
                <w:color w:val="000000"/>
                <w:spacing w:val="0"/>
                <w:w w:val="100"/>
                <w:kern w:val="0"/>
                <w:sz w:val="24"/>
                <w:szCs w:val="24"/>
                <w:vertAlign w:val="superscript"/>
                <w:lang w:val="en-US" w:eastAsia="zh-CN" w:bidi="ar-SA"/>
              </w:rPr>
              <w:t>2</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30cm×30cm及以下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面砖</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m</w:t>
            </w:r>
            <w:r>
              <w:rPr>
                <w:rStyle w:val="13"/>
                <w:rFonts w:hint="eastAsia" w:ascii="仿宋_GB2312" w:hAnsi="仿宋_GB2312" w:eastAsia="仿宋_GB2312" w:cs="仿宋_GB2312"/>
                <w:b w:val="0"/>
                <w:bCs w:val="0"/>
                <w:i w:val="0"/>
                <w:caps w:val="0"/>
                <w:color w:val="000000"/>
                <w:spacing w:val="0"/>
                <w:w w:val="100"/>
                <w:kern w:val="0"/>
                <w:sz w:val="24"/>
                <w:szCs w:val="24"/>
                <w:vertAlign w:val="superscript"/>
                <w:lang w:val="en-US" w:eastAsia="zh-CN" w:bidi="ar-SA"/>
              </w:rPr>
              <w:t>2</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水磨石</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m</w:t>
            </w:r>
            <w:r>
              <w:rPr>
                <w:rStyle w:val="13"/>
                <w:rFonts w:hint="eastAsia" w:ascii="仿宋_GB2312" w:hAnsi="仿宋_GB2312" w:eastAsia="仿宋_GB2312" w:cs="仿宋_GB2312"/>
                <w:b w:val="0"/>
                <w:bCs w:val="0"/>
                <w:i w:val="0"/>
                <w:caps w:val="0"/>
                <w:color w:val="000000"/>
                <w:spacing w:val="0"/>
                <w:w w:val="100"/>
                <w:kern w:val="0"/>
                <w:sz w:val="24"/>
                <w:szCs w:val="24"/>
                <w:vertAlign w:val="superscript"/>
                <w:lang w:val="en-US" w:eastAsia="zh-CN" w:bidi="ar-SA"/>
              </w:rPr>
              <w:t>2</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马赛克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m</w:t>
            </w:r>
            <w:r>
              <w:rPr>
                <w:rStyle w:val="13"/>
                <w:rFonts w:hint="eastAsia" w:ascii="仿宋_GB2312" w:hAnsi="仿宋_GB2312" w:eastAsia="仿宋_GB2312" w:cs="仿宋_GB2312"/>
                <w:b w:val="0"/>
                <w:bCs w:val="0"/>
                <w:i w:val="0"/>
                <w:caps w:val="0"/>
                <w:color w:val="000000"/>
                <w:spacing w:val="0"/>
                <w:w w:val="100"/>
                <w:kern w:val="0"/>
                <w:sz w:val="24"/>
                <w:szCs w:val="24"/>
                <w:vertAlign w:val="superscript"/>
                <w:lang w:val="en-US" w:eastAsia="zh-CN" w:bidi="ar-SA"/>
              </w:rPr>
              <w:t>2</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24眠墙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24斗墙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土砖墙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水管（水井）</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m</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2.5</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电线（水井）</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m</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2.5</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固定灶台</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组</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无油烟灶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套</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简易防盗门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高档防盗门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普通防盗网</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不锈钢防盗网</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130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空调移机（立）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台</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分体机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空调移机（挂）</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台</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分体机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热水器移装</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台</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墙体内木衣柜</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水泥电杆（8m以上）</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根</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含配件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水泥电杆（5-8m）</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根</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含配件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水泥电杆（5m以下）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根</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含配件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铝合金卷闸门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铝合金门窗</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宽带网移装</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台</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有线电视</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户</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电话</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台</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木扶手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160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不锈钢扶手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铁扶手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浴缸</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座便器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陶瓷洗脸盆</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吊灯</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组</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普通型（三盏）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吊灯</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组</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三盏以上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硫璃瓦</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造型加200元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大包门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600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门及框均包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小包门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大包窗</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窗及框均包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小包窗</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普通吊顶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吊顶造型</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含龙骨架及油漆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铝塑板吊顶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扣板及简易吊顶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组合柜</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120～150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能搬走的不予补偿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大灶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热水灶</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不锈钢防盗窗</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厨房墙柜</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不锈钢水塔</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座</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塑钢门</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扇</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能搬走的不予补偿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陶瓷葫芦</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水池（砖、石）</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土水（粪）池</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15</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氨水池、沼气池</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露天井（砖、石）</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机钻井(摇泵井)</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口</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2500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以深度8米为单位，每超1米增加300元，废弃不用的不予补偿。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泥结卵石路面</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表面平整（含碎石路面）。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水泥坪</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水渠（砖、石）</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地表设施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排水暗渠（沟）</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地下设施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无筋混凝土</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按体积计算。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钢筋混凝土</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460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按体积计算。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预制板</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25</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简易棚</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指有围护棚；无围护的按20元/m</w:t>
            </w:r>
            <w:r>
              <w:rPr>
                <w:rStyle w:val="13"/>
                <w:rFonts w:hint="eastAsia" w:ascii="仿宋_GB2312" w:hAnsi="仿宋_GB2312" w:eastAsia="仿宋_GB2312" w:cs="仿宋_GB2312"/>
                <w:b w:val="0"/>
                <w:bCs w:val="0"/>
                <w:i w:val="0"/>
                <w:caps w:val="0"/>
                <w:color w:val="000000"/>
                <w:spacing w:val="0"/>
                <w:w w:val="100"/>
                <w:kern w:val="2"/>
                <w:sz w:val="24"/>
                <w:szCs w:val="24"/>
                <w:vertAlign w:val="superscript"/>
                <w:lang w:val="en-US" w:eastAsia="zh-CN" w:bidi="ar-SA"/>
              </w:rPr>
              <w:t>2</w:t>
            </w: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钢架棚</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指有围护棚；无围护的按120元/m</w:t>
            </w:r>
            <w:r>
              <w:rPr>
                <w:rStyle w:val="13"/>
                <w:rFonts w:hint="eastAsia" w:ascii="仿宋_GB2312" w:hAnsi="仿宋_GB2312" w:eastAsia="仿宋_GB2312" w:cs="仿宋_GB2312"/>
                <w:b w:val="0"/>
                <w:bCs w:val="0"/>
                <w:i w:val="0"/>
                <w:caps w:val="0"/>
                <w:color w:val="000000"/>
                <w:spacing w:val="0"/>
                <w:w w:val="100"/>
                <w:kern w:val="2"/>
                <w:sz w:val="24"/>
                <w:szCs w:val="24"/>
                <w:vertAlign w:val="superscript"/>
                <w:lang w:val="en-US" w:eastAsia="zh-CN" w:bidi="ar-SA"/>
              </w:rPr>
              <w:t>2</w:t>
            </w: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水泥涵管￠300</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水泥涵管￠400</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水泥涵管￠500</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74</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水泥涵管￠600</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75</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方整石堡坎</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220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堡坎基础按实际丈量体积的20%计算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76</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片石堡坎</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堡坎基础按实际丈量体积的20%计算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77</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砖堡坎</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m³</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280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堡坎基础按实际丈量体积的20%计算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78</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围墙（24眠墙）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75</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贴瓷片每面增加10元/平方米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79</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default"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围墙(18砖墙、24斗墙)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60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贴瓷片每面增加10元/平方米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80</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围墙（12墙）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贴瓷片每面增加10元/平方米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81</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土砖墙</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82</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地窖</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个</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400</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6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83</w:t>
            </w:r>
          </w:p>
        </w:tc>
        <w:tc>
          <w:tcPr>
            <w:tcW w:w="27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水泥四方花板</w:t>
            </w:r>
          </w:p>
        </w:tc>
        <w:tc>
          <w:tcPr>
            <w:tcW w:w="62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块</w:t>
            </w:r>
          </w:p>
        </w:tc>
        <w:tc>
          <w:tcPr>
            <w:tcW w:w="131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8</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firstLine="0" w:firstLineChars="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val="0"/>
        <w:spacing w:before="157" w:beforeLines="50" w:beforeAutospacing="0" w:after="0" w:afterAutospacing="0" w:line="460" w:lineRule="exact"/>
        <w:ind w:left="1156" w:leftChars="0" w:right="0" w:hanging="1156" w:hangingChars="413"/>
        <w:jc w:val="both"/>
        <w:textAlignment w:val="baseline"/>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t>说明：1.表中未列入项目，原则上按现行建筑定额直接费的50%-70%予以补偿。</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right="0" w:firstLine="840" w:firstLineChars="300"/>
        <w:jc w:val="both"/>
        <w:textAlignment w:val="baseline"/>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t>2.已废弃的生产设施不予补偿。</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left="1120" w:leftChars="400" w:right="0" w:hanging="280" w:hangingChars="100"/>
        <w:jc w:val="both"/>
        <w:textAlignment w:val="baseline"/>
        <w:rPr>
          <w:rStyle w:val="13"/>
          <w:rFonts w:hint="eastAsia" w:ascii="仿宋_GB2312" w:hAnsi="仿宋_GB2312" w:eastAsia="仿宋_GB2312" w:cs="仿宋_GB2312"/>
          <w:b w:val="0"/>
          <w:bCs w:val="0"/>
          <w:i w:val="0"/>
          <w:caps w:val="0"/>
          <w:color w:val="000000"/>
          <w:spacing w:val="0"/>
          <w:w w:val="100"/>
          <w:kern w:val="2"/>
          <w:sz w:val="28"/>
          <w:szCs w:val="28"/>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8"/>
          <w:szCs w:val="28"/>
          <w:lang w:val="en-US" w:eastAsia="zh-CN" w:bidi="ar-SA"/>
        </w:rPr>
        <w:t>3.凡属非固定性生产或生活的炉灶、装配或水池、非固定猪（牛）槽，活动水泥板，谷仓等均不予补偿。</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460" w:lineRule="exact"/>
        <w:ind w:left="1120" w:leftChars="400" w:right="0" w:hanging="280" w:hangingChars="100"/>
        <w:jc w:val="both"/>
        <w:textAlignment w:val="baseline"/>
        <w:rPr>
          <w:rStyle w:val="13"/>
          <w:rFonts w:hint="eastAsia" w:ascii="仿宋_GB2312" w:hAnsi="仿宋_GB2312" w:eastAsia="仿宋_GB2312" w:cs="仿宋_GB2312"/>
          <w:b w:val="0"/>
          <w:bCs w:val="0"/>
          <w:i w:val="0"/>
          <w:caps w:val="0"/>
          <w:color w:val="000000"/>
          <w:spacing w:val="0"/>
          <w:w w:val="100"/>
          <w:kern w:val="2"/>
          <w:sz w:val="28"/>
          <w:szCs w:val="28"/>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8"/>
          <w:szCs w:val="28"/>
          <w:lang w:val="en-US" w:eastAsia="zh-CN" w:bidi="ar-SA"/>
        </w:rPr>
        <w:t>4.房屋的屋檐滴水明沟，进屋的踏步、上楼的楼梯等均为房屋的必要配套设施，已包括在房屋的补偿单价中，不再另行补偿。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left"/>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ascii="Times New Roman" w:hAnsi="Times New Roman" w:eastAsia="仿宋_GB2312"/>
          <w:b w:val="0"/>
          <w:bCs w:val="0"/>
          <w:i w:val="0"/>
          <w:caps w:val="0"/>
          <w:color w:val="000000"/>
          <w:spacing w:val="0"/>
          <w:w w:val="100"/>
          <w:kern w:val="2"/>
          <w:sz w:val="28"/>
          <w:szCs w:val="28"/>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附件9</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251" w:afterLines="80" w:afterAutospacing="0" w:line="70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迁坟、迁移电杆和拉线补偿标准</w:t>
      </w:r>
    </w:p>
    <w:tbl>
      <w:tblPr>
        <w:tblStyle w:val="9"/>
        <w:tblW w:w="87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7"/>
        <w:gridCol w:w="2468"/>
        <w:gridCol w:w="3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2"/>
                <w:sz w:val="24"/>
                <w:szCs w:val="24"/>
                <w:lang w:val="en-US" w:eastAsia="zh-CN" w:bidi="ar-SA"/>
              </w:rPr>
              <w:t>类别</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2"/>
                <w:sz w:val="24"/>
                <w:szCs w:val="24"/>
                <w:lang w:val="en-US" w:eastAsia="zh-CN" w:bidi="ar-SA"/>
              </w:rPr>
              <w:t>补偿标准</w:t>
            </w:r>
          </w:p>
        </w:tc>
        <w:tc>
          <w:tcPr>
            <w:tcW w:w="38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2"/>
                <w:sz w:val="24"/>
                <w:szCs w:val="24"/>
                <w:lang w:val="en-US" w:eastAsia="zh-CN" w:bidi="ar-SA"/>
              </w:rPr>
            </w:pPr>
            <w:r>
              <w:rPr>
                <w:rStyle w:val="13"/>
                <w:rFonts w:hint="eastAsia" w:ascii="黑体" w:hAnsi="黑体" w:eastAsia="黑体" w:cs="黑体"/>
                <w:b w:val="0"/>
                <w:bCs w:val="0"/>
                <w:i w:val="0"/>
                <w:caps w:val="0"/>
                <w:color w:val="000000"/>
                <w:spacing w:val="0"/>
                <w:w w:val="100"/>
                <w:kern w:val="2"/>
                <w:sz w:val="24"/>
                <w:szCs w:val="24"/>
                <w:lang w:val="en-US" w:eastAsia="zh-CN" w:bidi="ar-SA"/>
              </w:rPr>
              <w:t>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无棺木坟只迁骸骨</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2200元/座</w:t>
            </w:r>
          </w:p>
        </w:tc>
        <w:tc>
          <w:tcPr>
            <w:tcW w:w="38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1.已公告迁坟期限，逾期不迁的，视为无主坟，由项目业主单位迁移处理，不再补偿。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2.埋电杆、拉线补偿包括土地补偿、安置补助、青苗补偿费。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2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3.砖坟、石坟包括坟圈、坟台。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土筑坟</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4000元/座</w:t>
            </w:r>
          </w:p>
        </w:tc>
        <w:tc>
          <w:tcPr>
            <w:tcW w:w="38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砖坟、石坟</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7000元/座</w:t>
            </w:r>
          </w:p>
        </w:tc>
        <w:tc>
          <w:tcPr>
            <w:tcW w:w="38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迁移电杆</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360元/根</w:t>
            </w:r>
          </w:p>
        </w:tc>
        <w:tc>
          <w:tcPr>
            <w:tcW w:w="38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exact"/>
          <w:jc w:val="center"/>
        </w:trPr>
        <w:tc>
          <w:tcPr>
            <w:tcW w:w="2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拉线</w:t>
            </w:r>
          </w:p>
        </w:tc>
        <w:tc>
          <w:tcPr>
            <w:tcW w:w="24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260元/根</w:t>
            </w:r>
          </w:p>
        </w:tc>
        <w:tc>
          <w:tcPr>
            <w:tcW w:w="38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r>
    </w:tbl>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3"/>
          <w:rFonts w:ascii="方正小标宋简体" w:hAnsi="方正小标宋简体" w:eastAsia="方正小标宋简体"/>
          <w:b w:val="0"/>
          <w:bCs w:val="0"/>
          <w:i w:val="0"/>
          <w:caps w:val="0"/>
          <w:color w:val="000000"/>
          <w:spacing w:val="0"/>
          <w:w w:val="100"/>
          <w:kern w:val="2"/>
          <w:sz w:val="32"/>
          <w:szCs w:val="32"/>
          <w:lang w:val="en-US" w:eastAsia="zh-CN" w:bidi="ar-SA"/>
        </w:rPr>
        <w:sectPr>
          <w:pgSz w:w="11906" w:h="16838"/>
          <w:pgMar w:top="1701" w:right="1531" w:bottom="1134" w:left="1531" w:header="851" w:footer="992" w:gutter="0"/>
          <w:lnNumType w:countBy="0"/>
          <w:pgNumType w:fmt="numberInDash"/>
          <w:cols w:space="425" w:num="1"/>
          <w:vAlign w:val="top"/>
          <w:docGrid w:type="lines" w:linePitch="312" w:charSpace="0"/>
        </w:sect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hint="eastAsia" w:ascii="黑体" w:hAnsi="黑体" w:eastAsia="黑体" w:cs="黑体"/>
          <w:b w:val="0"/>
          <w:bCs w:val="0"/>
          <w:i w:val="0"/>
          <w:caps w:val="0"/>
          <w:color w:val="000000"/>
          <w:spacing w:val="0"/>
          <w:w w:val="100"/>
          <w:kern w:val="2"/>
          <w:sz w:val="32"/>
          <w:szCs w:val="32"/>
          <w:lang w:val="en-US" w:eastAsia="zh-CN" w:bidi="ar-SA"/>
        </w:rPr>
        <w:t>附件10</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251" w:afterLines="8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征收房屋结构等级标准</w:t>
      </w:r>
    </w:p>
    <w:tbl>
      <w:tblPr>
        <w:tblStyle w:val="9"/>
        <w:tblW w:w="9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
        <w:gridCol w:w="157"/>
        <w:gridCol w:w="673"/>
        <w:gridCol w:w="8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blHeader/>
          <w:jc w:val="center"/>
        </w:trPr>
        <w:tc>
          <w:tcPr>
            <w:tcW w:w="129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房屋结构</w:t>
            </w:r>
          </w:p>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 xml:space="preserve">等级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4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 xml:space="preserve">主  要  特  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0" w:hRule="atLeast"/>
          <w:jc w:val="center"/>
        </w:trPr>
        <w:tc>
          <w:tcPr>
            <w:tcW w:w="129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钢混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结构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桩基础或独立基础，承重部分（梁、板、柱）全部为钢筋混凝土框架结构，现浇楼面、屋面、楼梯、天沟、层高3m，屋面上部有隔热层（包括平顶、青瓦型），24cm眠墙，厨房、洗漱间、厕所等设施齐全,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2" w:hRule="atLeast"/>
          <w:jc w:val="center"/>
        </w:trPr>
        <w:tc>
          <w:tcPr>
            <w:tcW w:w="62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砖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混 </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一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2层以上建筑物，24cm眠墙，层层串梁,现浇或预制楼梯踏步,预制空心板楼面,预制空心板或钢丝网砼防水屋面,屋面上有隔热层（包括平顶、青瓦型）,现浇天沟排水,层高3m,室内为水泥地面,室内外水、电设施齐全。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jc w:val="center"/>
        </w:trPr>
        <w:tc>
          <w:tcPr>
            <w:tcW w:w="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二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2层以上建筑物，部分24cm眠墙或空心墙,预制空心板楼面,青瓦屋面,挑阳台,层高3m,水泥地面,厨房、洗漱间、厕所等设施齐全,室内外水、电设施齐全。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jc w:val="center"/>
        </w:trPr>
        <w:tc>
          <w:tcPr>
            <w:tcW w:w="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三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2层以上建筑物，部分24cm眠墙或空心墙,预制或小板楼面,青瓦屋面,有柱檐廊,层高3m,水泥地面,室内外水、电设施齐全。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jc w:val="center"/>
        </w:trPr>
        <w:tc>
          <w:tcPr>
            <w:tcW w:w="62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砖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木 </w:t>
            </w: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一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2层以上建筑物，砖石基础，24cm眠墙，木架青瓦屋面，木板楼面,木质平顶,屋面四周水泥砖砌排水明沟或暗沟,水泥地面,室内外水、电设施齐全。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7" w:hRule="atLeast"/>
          <w:jc w:val="center"/>
        </w:trPr>
        <w:tc>
          <w:tcPr>
            <w:tcW w:w="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纯木结构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标准砖石基础，基础深度0.5m以上，木桩屋梁，木板墙或卡砖墙，瓦屋面，前后檐口高度2.8m以上，油漆木制门窗，水电进户（含室内管线），三合土地面或水泥地面。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62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二 </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级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砖石基础，木屋架墙,部分24cm眠墙或空心墙,木架青瓦屋面,木制楼面,前后径墙3m以上，水泥地面;室内外水、电设施齐全。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jc w:val="center"/>
        </w:trPr>
        <w:tc>
          <w:tcPr>
            <w:tcW w:w="129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土木类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土砖、土筑或节砖墙,青瓦屋面,前后径墙3m以上，水泥地面,水、电设施齐全。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jc w:val="center"/>
        </w:trPr>
        <w:tc>
          <w:tcPr>
            <w:tcW w:w="129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偏屋类 </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土砖、土筑或节砖墙,其中一面借墙（无独立山墙）瓦屋顶,檐口高度在2.2m以下。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4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杂屋类 </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砖混</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杂屋</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内外24厘米眠墙，现浇或预制平顶门窗齐全内有粉刷水泥地面。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jc w:val="center"/>
        </w:trPr>
        <w:tc>
          <w:tcPr>
            <w:tcW w:w="4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其他</w:t>
            </w:r>
          </w:p>
        </w:tc>
        <w:tc>
          <w:tcPr>
            <w:tcW w:w="81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80" w:lineRule="exact"/>
              <w:ind w:left="42" w:leftChars="20" w:right="42" w:rightChars="2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土砖、土筑或节砖墙,青瓦或石棉瓦屋面,檐口高度在1.8m以下。</w:t>
            </w:r>
          </w:p>
        </w:tc>
      </w:tr>
    </w:tbl>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说明：1.上述房屋主要特征中的子项目，如有增减，按有关规定增减补偿；</w:t>
      </w:r>
    </w:p>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958" w:leftChars="342" w:hanging="240" w:hangingChars="10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2.钢混和砖混一级房屋有隔热层的增加4%系数，外墙抹灰面，面砖的按实际墙面数增加1%系数。层高在上述标准增减10cm以内的，不增加或减少补偿；层高增加或减少超过10cm以上的，每增减10cm，其补偿标准增减1%；</w:t>
      </w:r>
    </w:p>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958" w:leftChars="342" w:hanging="240" w:hangingChars="10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3.各类房屋应具备木制门窗，无门窗的减4%系数、无水电的减4%系数、借墙的减4%系数，具体可根据房屋实际情况酌减；</w:t>
      </w:r>
    </w:p>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958" w:leftChars="342" w:hanging="240" w:hangingChars="100"/>
        <w:jc w:val="both"/>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4.饲养栏舍按照上表确定建筑类别和等级,不符合上表类别等级的，按杂屋补偿标准的70%补偿；</w:t>
      </w:r>
    </w:p>
    <w:p>
      <w:pPr>
        <w:keepNext w:val="0"/>
        <w:keepLines w:val="0"/>
        <w:pageBreakBefore w:val="0"/>
        <w:widowControl w:val="0"/>
        <w:kinsoku/>
        <w:wordWrap/>
        <w:overflowPunct/>
        <w:topLinePunct w:val="0"/>
        <w:autoSpaceDE/>
        <w:autoSpaceDN/>
        <w:bidi w:val="0"/>
        <w:adjustRightInd/>
        <w:snapToGrid/>
        <w:spacing w:beforeAutospacing="0" w:after="0" w:afterAutospacing="0" w:line="320" w:lineRule="exact"/>
        <w:ind w:left="958" w:leftChars="342" w:hanging="240" w:hangingChars="100"/>
        <w:jc w:val="both"/>
        <w:textAlignment w:val="baseline"/>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5</w:t>
      </w: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w:t>
      </w:r>
      <w:r>
        <w:rPr>
          <w:rStyle w:val="13"/>
          <w:rFonts w:hint="eastAsia" w:ascii="仿宋_GB2312" w:hAnsi="仿宋_GB2312" w:eastAsia="仿宋_GB2312" w:cs="仿宋_GB2312"/>
          <w:b w:val="0"/>
          <w:bCs w:val="0"/>
          <w:i w:val="0"/>
          <w:caps w:val="0"/>
          <w:color w:val="000000"/>
          <w:spacing w:val="0"/>
          <w:w w:val="100"/>
          <w:kern w:val="2"/>
          <w:sz w:val="24"/>
          <w:szCs w:val="24"/>
          <w:lang w:val="en-US" w:eastAsia="zh-CN" w:bidi="ar-SA"/>
        </w:rPr>
        <w:t>房屋拆迁补偿标准按房屋成新度予以核减：9成新-3%，8成新-6%，7成新-9%，6成新-12%，5成新及5成新以下-15%。</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hint="eastAsia" w:ascii="黑体" w:hAnsi="黑体" w:eastAsia="黑体" w:cs="黑体"/>
          <w:b w:val="0"/>
          <w:bCs w:val="0"/>
          <w:i w:val="0"/>
          <w:caps w:val="0"/>
          <w:color w:val="000000"/>
          <w:spacing w:val="0"/>
          <w:w w:val="100"/>
          <w:kern w:val="2"/>
          <w:sz w:val="32"/>
          <w:szCs w:val="32"/>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附件11</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征收房屋补偿标准（货币安置、安置房安置）</w:t>
      </w:r>
    </w:p>
    <w:p>
      <w:pPr>
        <w:widowControl/>
        <w:shd w:val="clear" w:color="auto" w:fill="FFFFFF"/>
        <w:snapToGrid/>
        <w:spacing w:before="312" w:beforeAutospacing="1" w:after="312" w:afterAutospacing="1" w:line="280" w:lineRule="exact"/>
        <w:jc w:val="center"/>
        <w:textAlignment w:val="baseline"/>
        <w:rPr>
          <w:rStyle w:val="13"/>
          <w:rFonts w:hint="eastAsia" w:ascii="楷体_GB2312" w:hAnsi="楷体_GB2312" w:eastAsia="楷体_GB2312" w:cs="楷体_GB2312"/>
          <w:b w:val="0"/>
          <w:bCs w:val="0"/>
          <w:i w:val="0"/>
          <w:caps w:val="0"/>
          <w:color w:val="000000"/>
          <w:spacing w:val="0"/>
          <w:w w:val="100"/>
          <w:kern w:val="0"/>
          <w:sz w:val="28"/>
          <w:szCs w:val="28"/>
          <w:lang w:val="en-US" w:eastAsia="zh-CN"/>
        </w:rPr>
      </w:pPr>
      <w:r>
        <w:rPr>
          <w:rStyle w:val="13"/>
          <w:rFonts w:ascii="Times New Roman" w:hAnsi="Times New Roman" w:eastAsia="仿宋_GB2312"/>
          <w:b w:val="0"/>
          <w:bCs w:val="0"/>
          <w:i w:val="0"/>
          <w:caps w:val="0"/>
          <w:color w:val="000000"/>
          <w:spacing w:val="0"/>
          <w:w w:val="100"/>
          <w:kern w:val="0"/>
          <w:sz w:val="32"/>
          <w:szCs w:val="32"/>
          <w:lang w:val="en-US" w:eastAsia="zh-CN" w:bidi="ar-SA"/>
        </w:rPr>
        <w:t xml:space="preserve">                               </w:t>
      </w:r>
      <w:r>
        <w:rPr>
          <w:rStyle w:val="13"/>
          <w:rFonts w:hint="eastAsia" w:ascii="楷体_GB2312" w:hAnsi="楷体_GB2312" w:eastAsia="楷体_GB2312" w:cs="楷体_GB2312"/>
          <w:b w:val="0"/>
          <w:bCs w:val="0"/>
          <w:i w:val="0"/>
          <w:caps w:val="0"/>
          <w:color w:val="000000"/>
          <w:spacing w:val="0"/>
          <w:w w:val="100"/>
          <w:kern w:val="0"/>
          <w:sz w:val="28"/>
          <w:szCs w:val="28"/>
          <w:lang w:val="en-US" w:eastAsia="zh-CN"/>
        </w:rPr>
        <w:t xml:space="preserve">    单位：元/㎡</w:t>
      </w:r>
    </w:p>
    <w:tbl>
      <w:tblPr>
        <w:tblStyle w:val="9"/>
        <w:tblW w:w="87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9"/>
        <w:gridCol w:w="120"/>
        <w:gridCol w:w="1197"/>
        <w:gridCol w:w="3173"/>
        <w:gridCol w:w="2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274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房屋类别</w:t>
            </w:r>
          </w:p>
        </w:tc>
        <w:tc>
          <w:tcPr>
            <w:tcW w:w="3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房屋结构补偿</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宅基地使用权</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2746"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钢混</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1320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142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砖混</w:t>
            </w: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一级</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1080</w:t>
            </w:r>
          </w:p>
        </w:tc>
        <w:tc>
          <w:tcPr>
            <w:tcW w:w="2820" w:type="dxa"/>
            <w:tcBorders>
              <w:top w:val="nil"/>
              <w:left w:val="single" w:color="000000" w:sz="4" w:space="0"/>
              <w:bottom w:val="nil"/>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142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二级</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1020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142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三级</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960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142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砖木</w:t>
            </w: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一级</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840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142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纯木</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780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142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31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二级</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720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2746"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土木（正房）</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600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2746"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偏屋</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400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154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杂屋</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砖混</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450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exact"/>
          <w:jc w:val="center"/>
        </w:trPr>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其他</w:t>
            </w:r>
          </w:p>
        </w:tc>
        <w:tc>
          <w:tcPr>
            <w:tcW w:w="317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c>
          <w:tcPr>
            <w:tcW w:w="28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bl>
    <w:p>
      <w:pPr>
        <w:snapToGrid/>
        <w:spacing w:before="0" w:beforeAutospacing="0" w:after="0" w:afterAutospacing="0" w:line="360" w:lineRule="exact"/>
        <w:ind w:left="1120" w:hanging="1120"/>
        <w:jc w:val="both"/>
        <w:textAlignment w:val="baseline"/>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1123" w:hanging="1123"/>
        <w:jc w:val="both"/>
        <w:textAlignment w:val="baseline"/>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t>说明:1.宅基地使用权补偿只对拆迁合法正房底层占地面积进行补偿；</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1123" w:hanging="1123"/>
        <w:jc w:val="both"/>
        <w:textAlignment w:val="baseline"/>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t xml:space="preserve">     2.偏屋、杂屋房屋补偿包含土地补偿费，不给予宅基地补偿。</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hint="eastAsia" w:ascii="黑体" w:hAnsi="黑体" w:eastAsia="黑体" w:cs="黑体"/>
          <w:b w:val="0"/>
          <w:bCs w:val="0"/>
          <w:i w:val="0"/>
          <w:caps w:val="0"/>
          <w:color w:val="000000"/>
          <w:spacing w:val="0"/>
          <w:w w:val="100"/>
          <w:kern w:val="2"/>
          <w:sz w:val="32"/>
          <w:szCs w:val="32"/>
          <w:lang w:val="en-US" w:eastAsia="zh-CN" w:bidi="ar-SA"/>
        </w:rPr>
        <w:t xml:space="preserve">      </w:t>
      </w:r>
      <w:r>
        <w:rPr>
          <w:rStyle w:val="13"/>
          <w:rFonts w:hint="eastAsia" w:ascii="黑体" w:hAnsi="黑体" w:eastAsia="黑体" w:cs="黑体"/>
          <w:b w:val="0"/>
          <w:bCs w:val="0"/>
          <w:i w:val="0"/>
          <w:caps w:val="0"/>
          <w:color w:val="000000"/>
          <w:spacing w:val="0"/>
          <w:w w:val="100"/>
          <w:kern w:val="2"/>
          <w:sz w:val="32"/>
          <w:szCs w:val="32"/>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附件12</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 xml:space="preserve">征收房屋补偿标准（迁建安置） </w:t>
      </w:r>
    </w:p>
    <w:p>
      <w:pPr>
        <w:widowControl/>
        <w:shd w:val="clear" w:color="auto" w:fill="FFFFFF"/>
        <w:wordWrap w:val="0"/>
        <w:snapToGrid/>
        <w:spacing w:before="312" w:beforeAutospacing="1" w:after="312" w:afterAutospacing="1" w:line="280" w:lineRule="exact"/>
        <w:jc w:val="right"/>
        <w:textAlignment w:val="baseline"/>
        <w:rPr>
          <w:rStyle w:val="13"/>
          <w:rFonts w:hint="default" w:ascii="楷体_GB2312" w:hAnsi="楷体_GB2312" w:eastAsia="楷体_GB2312" w:cs="楷体_GB2312"/>
          <w:b w:val="0"/>
          <w:bCs w:val="0"/>
          <w:i w:val="0"/>
          <w:caps w:val="0"/>
          <w:color w:val="000000"/>
          <w:spacing w:val="0"/>
          <w:w w:val="100"/>
          <w:kern w:val="0"/>
          <w:sz w:val="28"/>
          <w:szCs w:val="28"/>
          <w:lang w:val="en-US" w:eastAsia="zh-CN" w:bidi="ar-SA"/>
        </w:rPr>
      </w:pPr>
      <w:r>
        <w:rPr>
          <w:rStyle w:val="13"/>
          <w:rFonts w:hint="eastAsia" w:ascii="楷体_GB2312" w:hAnsi="楷体_GB2312" w:eastAsia="楷体_GB2312" w:cs="楷体_GB2312"/>
          <w:b w:val="0"/>
          <w:bCs w:val="0"/>
          <w:i w:val="0"/>
          <w:caps w:val="0"/>
          <w:color w:val="000000"/>
          <w:spacing w:val="0"/>
          <w:w w:val="100"/>
          <w:kern w:val="0"/>
          <w:sz w:val="28"/>
          <w:szCs w:val="28"/>
          <w:lang w:val="en-US" w:eastAsia="zh-CN" w:bidi="ar-SA"/>
        </w:rPr>
        <w:t xml:space="preserve">  单位：元/㎡       </w:t>
      </w:r>
    </w:p>
    <w:tbl>
      <w:tblPr>
        <w:tblStyle w:val="9"/>
        <w:tblW w:w="8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4"/>
        <w:gridCol w:w="2268"/>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421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 xml:space="preserve">房屋类别 </w:t>
            </w:r>
          </w:p>
        </w:tc>
        <w:tc>
          <w:tcPr>
            <w:tcW w:w="3827" w:type="dxa"/>
            <w:tcBorders>
              <w:top w:val="single" w:color="000000" w:sz="4" w:space="0"/>
              <w:left w:val="single" w:color="000000" w:sz="4" w:space="0"/>
              <w:bottom w:val="single" w:color="000000" w:sz="4" w:space="0"/>
              <w:right w:val="single" w:color="000000" w:sz="4" w:space="0"/>
            </w:tcBorders>
            <w:vAlign w:val="center"/>
          </w:tcPr>
          <w:p>
            <w:pPr>
              <w:snapToGrid/>
              <w:spacing w:before="100" w:beforeAutospacing="0" w:after="100" w:afterAutospacing="0" w:line="320" w:lineRule="exact"/>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 xml:space="preserve">房屋结构补偿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421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钢混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strike/>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砖混 </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一级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二级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三级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960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砖木 </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一级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纯木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20" w:lineRule="exact"/>
              <w:jc w:val="left"/>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二级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421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土木（正房）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421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偏屋 </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杂屋 </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砖混</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 xml:space="preserve"> 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944"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100" w:beforeAutospacing="0" w:after="100" w:afterAutospacing="0" w:line="32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其他</w:t>
            </w:r>
          </w:p>
        </w:tc>
        <w:tc>
          <w:tcPr>
            <w:tcW w:w="382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80" w:lineRule="exact"/>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r>
    </w:tbl>
    <w:p>
      <w:pPr>
        <w:widowControl/>
        <w:snapToGrid/>
        <w:spacing w:before="0" w:beforeAutospacing="0" w:after="0" w:afterAutospacing="0" w:line="419" w:lineRule="exact"/>
        <w:ind w:right="-361"/>
        <w:jc w:val="left"/>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ascii="方正小标宋简体" w:hAnsi="方正小标宋简体" w:eastAsia="方正小标宋简体"/>
          <w:b w:val="0"/>
          <w:bCs w:val="0"/>
          <w:i w:val="0"/>
          <w:caps w:val="0"/>
          <w:color w:val="000000"/>
          <w:spacing w:val="0"/>
          <w:w w:val="100"/>
          <w:kern w:val="2"/>
          <w:sz w:val="32"/>
          <w:szCs w:val="32"/>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附件13</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分散迁建安置土地、水、电、路、</w:t>
      </w:r>
    </w:p>
    <w:p>
      <w:pPr>
        <w:keepNext w:val="0"/>
        <w:keepLines w:val="0"/>
        <w:pageBreakBefore w:val="0"/>
        <w:widowControl/>
        <w:shd w:val="clear" w:color="auto" w:fill="FFFFFF"/>
        <w:kinsoku/>
        <w:wordWrap/>
        <w:overflowPunct/>
        <w:topLinePunct w:val="0"/>
        <w:autoSpaceDE/>
        <w:autoSpaceDN/>
        <w:bidi w:val="0"/>
        <w:adjustRightInd/>
        <w:snapToGrid w:val="0"/>
        <w:spacing w:before="0" w:beforeAutospacing="0" w:after="157" w:afterLines="5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超深基础等补助标准</w:t>
      </w:r>
    </w:p>
    <w:tbl>
      <w:tblPr>
        <w:tblStyle w:val="9"/>
        <w:tblW w:w="8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0"/>
        <w:gridCol w:w="4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名    称</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补助金额（元/㎡）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宅基地调换补助</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水、电源</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道路</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超深基础</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场地平整</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jc w:val="center"/>
        </w:trPr>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报建报批</w:t>
            </w:r>
          </w:p>
        </w:tc>
        <w:tc>
          <w:tcPr>
            <w:tcW w:w="43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1" w:after="0" w:afterAutospacing="1" w:line="240" w:lineRule="auto"/>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50</w:t>
            </w:r>
          </w:p>
        </w:tc>
      </w:tr>
    </w:tbl>
    <w:p>
      <w:pPr>
        <w:keepNext w:val="0"/>
        <w:keepLines w:val="0"/>
        <w:pageBreakBefore w:val="0"/>
        <w:widowControl/>
        <w:kinsoku/>
        <w:wordWrap/>
        <w:overflowPunct/>
        <w:topLinePunct w:val="0"/>
        <w:autoSpaceDE/>
        <w:autoSpaceDN/>
        <w:bidi w:val="0"/>
        <w:adjustRightInd/>
        <w:snapToGrid/>
        <w:spacing w:before="156" w:beforeAutospacing="0" w:after="0" w:afterAutospacing="0" w:line="440" w:lineRule="exact"/>
        <w:ind w:firstLine="560" w:firstLineChars="200"/>
        <w:jc w:val="both"/>
        <w:textAlignment w:val="baseline"/>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t xml:space="preserve">说明：1.宅基地调换补助按合法正房底层占地面积计算；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1654" w:leftChars="532" w:hanging="537" w:hangingChars="192"/>
        <w:jc w:val="both"/>
        <w:textAlignment w:val="baseline"/>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t xml:space="preserve">  2.水、电一次性包干补助的对象为被征收人的房屋具备水、电设备的，房屋无或缺的则不补助或只补助具备的项目；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1120" w:firstLineChars="400"/>
        <w:jc w:val="both"/>
        <w:textAlignment w:val="baseline"/>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8"/>
          <w:szCs w:val="32"/>
          <w:lang w:val="en-US" w:eastAsia="zh-CN" w:bidi="ar-SA"/>
        </w:rPr>
        <w:t xml:space="preserve">  3.超深基础的补助包括地基到正负零。 </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jc w:val="both"/>
        <w:textAlignment w:val="baseline"/>
        <w:rPr>
          <w:rStyle w:val="13"/>
          <w:rFonts w:hint="default" w:ascii="黑体" w:hAnsi="黑体" w:eastAsia="黑体" w:cs="黑体"/>
          <w:b w:val="0"/>
          <w:bCs w:val="0"/>
          <w:i w:val="0"/>
          <w:caps w:val="0"/>
          <w:color w:val="000000"/>
          <w:spacing w:val="0"/>
          <w:w w:val="100"/>
          <w:kern w:val="2"/>
          <w:sz w:val="32"/>
          <w:szCs w:val="32"/>
          <w:lang w:val="en-US" w:eastAsia="zh-CN" w:bidi="ar-SA"/>
        </w:rPr>
      </w:pPr>
      <w:r>
        <w:rPr>
          <w:rStyle w:val="13"/>
          <w:rFonts w:ascii="方正小标宋简体" w:hAnsi="方正小标宋简体" w:eastAsia="方正小标宋简体"/>
          <w:b w:val="0"/>
          <w:bCs w:val="0"/>
          <w:i w:val="0"/>
          <w:caps w:val="0"/>
          <w:color w:val="000000"/>
          <w:spacing w:val="0"/>
          <w:w w:val="100"/>
          <w:kern w:val="2"/>
          <w:sz w:val="32"/>
          <w:szCs w:val="32"/>
          <w:lang w:val="en-US" w:eastAsia="zh-CN" w:bidi="ar-SA"/>
        </w:rPr>
        <w:br w:type="page"/>
      </w:r>
      <w:r>
        <w:rPr>
          <w:rStyle w:val="13"/>
          <w:rFonts w:hint="eastAsia" w:ascii="黑体" w:hAnsi="黑体" w:eastAsia="黑体" w:cs="黑体"/>
          <w:b w:val="0"/>
          <w:bCs w:val="0"/>
          <w:i w:val="0"/>
          <w:caps w:val="0"/>
          <w:color w:val="000000"/>
          <w:spacing w:val="0"/>
          <w:w w:val="100"/>
          <w:kern w:val="2"/>
          <w:sz w:val="32"/>
          <w:szCs w:val="32"/>
          <w:lang w:val="en-US" w:eastAsia="zh-CN" w:bidi="ar-SA"/>
        </w:rPr>
        <w:t>附件14</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157" w:afterLines="50" w:afterAutospacing="0" w:line="640" w:lineRule="exact"/>
        <w:jc w:val="center"/>
        <w:textAlignment w:val="baseline"/>
        <w:rPr>
          <w:rStyle w:val="13"/>
          <w:rFonts w:ascii="Times New Roman" w:hAnsi="Times New Roman" w:eastAsia="方正小标宋简体"/>
          <w:b w:val="0"/>
          <w:bCs w:val="0"/>
          <w:i w:val="0"/>
          <w:caps w:val="0"/>
          <w:color w:val="000000"/>
          <w:spacing w:val="0"/>
          <w:w w:val="100"/>
          <w:kern w:val="0"/>
          <w:sz w:val="44"/>
          <w:szCs w:val="44"/>
          <w:lang w:val="en-US" w:eastAsia="zh-CN" w:bidi="ar-SA"/>
        </w:rPr>
      </w:pPr>
      <w:r>
        <w:rPr>
          <w:rStyle w:val="13"/>
          <w:rFonts w:ascii="Times New Roman" w:hAnsi="Times New Roman" w:eastAsia="方正小标宋简体"/>
          <w:b w:val="0"/>
          <w:bCs w:val="0"/>
          <w:i w:val="0"/>
          <w:caps w:val="0"/>
          <w:color w:val="000000"/>
          <w:spacing w:val="0"/>
          <w:w w:val="100"/>
          <w:kern w:val="0"/>
          <w:sz w:val="44"/>
          <w:szCs w:val="44"/>
          <w:lang w:val="en-US" w:eastAsia="zh-CN" w:bidi="ar-SA"/>
        </w:rPr>
        <w:t>过渡费、搬家费标准</w:t>
      </w:r>
    </w:p>
    <w:tbl>
      <w:tblPr>
        <w:tblStyle w:val="9"/>
        <w:tblW w:w="89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77"/>
        <w:gridCol w:w="4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jc w:val="center"/>
        </w:trPr>
        <w:tc>
          <w:tcPr>
            <w:tcW w:w="4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过渡费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（元/人·月）</w:t>
            </w:r>
          </w:p>
        </w:tc>
        <w:tc>
          <w:tcPr>
            <w:tcW w:w="4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搬家费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 w:leftChars="20" w:right="42" w:rightChars="20"/>
              <w:jc w:val="center"/>
              <w:textAlignment w:val="baseline"/>
              <w:rPr>
                <w:rStyle w:val="13"/>
                <w:rFonts w:hint="eastAsia" w:ascii="黑体" w:hAnsi="黑体" w:eastAsia="黑体" w:cs="黑体"/>
                <w:b w:val="0"/>
                <w:bCs w:val="0"/>
                <w:i w:val="0"/>
                <w:caps w:val="0"/>
                <w:color w:val="000000"/>
                <w:spacing w:val="0"/>
                <w:w w:val="100"/>
                <w:kern w:val="0"/>
                <w:sz w:val="24"/>
                <w:szCs w:val="24"/>
                <w:lang w:val="en-US" w:eastAsia="zh-CN" w:bidi="ar-SA"/>
              </w:rPr>
            </w:pPr>
            <w:r>
              <w:rPr>
                <w:rStyle w:val="13"/>
                <w:rFonts w:hint="eastAsia" w:ascii="黑体" w:hAnsi="黑体" w:eastAsia="黑体" w:cs="黑体"/>
                <w:b w:val="0"/>
                <w:bCs w:val="0"/>
                <w:i w:val="0"/>
                <w:caps w:val="0"/>
                <w:color w:val="000000"/>
                <w:spacing w:val="0"/>
                <w:w w:val="100"/>
                <w:kern w:val="0"/>
                <w:sz w:val="24"/>
                <w:szCs w:val="24"/>
                <w:lang w:val="en-US" w:eastAsia="zh-CN" w:bidi="ar-SA"/>
              </w:rPr>
              <w:t>（元/人·次）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2" w:hRule="atLeast"/>
          <w:jc w:val="center"/>
        </w:trPr>
        <w:tc>
          <w:tcPr>
            <w:tcW w:w="4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300</w:t>
            </w:r>
          </w:p>
        </w:tc>
        <w:tc>
          <w:tcPr>
            <w:tcW w:w="44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2" w:leftChars="20" w:right="42" w:rightChars="20"/>
              <w:jc w:val="center"/>
              <w:textAlignment w:val="baseline"/>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3"/>
                <w:rFonts w:hint="eastAsia" w:ascii="仿宋_GB2312" w:hAnsi="仿宋_GB2312" w:eastAsia="仿宋_GB2312" w:cs="仿宋_GB2312"/>
                <w:b w:val="0"/>
                <w:bCs w:val="0"/>
                <w:i w:val="0"/>
                <w:caps w:val="0"/>
                <w:color w:val="000000"/>
                <w:spacing w:val="0"/>
                <w:w w:val="100"/>
                <w:kern w:val="0"/>
                <w:sz w:val="24"/>
                <w:szCs w:val="24"/>
                <w:lang w:val="en-US" w:eastAsia="zh-CN" w:bidi="ar-SA"/>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jc w:val="center"/>
        </w:trPr>
        <w:tc>
          <w:tcPr>
            <w:tcW w:w="89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42" w:leftChars="20" w:right="42" w:rightChars="20"/>
              <w:jc w:val="both"/>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说明：单次搬家费低于3000元的，按3000元标准计算。</w:t>
            </w:r>
          </w:p>
          <w:p>
            <w:pPr>
              <w:pStyle w:val="6"/>
              <w:rPr>
                <w:rFonts w:hint="eastAsia"/>
                <w:lang w:val="en-US" w:eastAsia="zh-CN"/>
              </w:rPr>
            </w:pPr>
          </w:p>
        </w:tc>
      </w:tr>
    </w:tbl>
    <w:p>
      <w:pPr>
        <w:snapToGrid/>
        <w:spacing w:before="0" w:beforeAutospacing="0" w:after="0" w:afterAutospacing="0" w:line="100" w:lineRule="exact"/>
        <w:jc w:val="both"/>
        <w:textAlignment w:val="baseline"/>
        <w:rPr>
          <w:rStyle w:val="13"/>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snapToGrid/>
        <w:spacing w:before="0" w:beforeAutospacing="0" w:after="0" w:afterAutospacing="0" w:line="100" w:lineRule="exact"/>
        <w:jc w:val="both"/>
        <w:textAlignment w:val="baseline"/>
        <w:rPr>
          <w:rStyle w:val="13"/>
          <w:rFonts w:ascii="Times New Roman" w:hAnsi="Times New Roman" w:eastAsia="仿宋_GB2312"/>
          <w:b w:val="0"/>
          <w:bCs w:val="0"/>
          <w:i w:val="0"/>
          <w:caps w:val="0"/>
          <w:color w:val="000000"/>
          <w:spacing w:val="0"/>
          <w:w w:val="100"/>
          <w:kern w:val="0"/>
          <w:sz w:val="24"/>
          <w:szCs w:val="24"/>
          <w:u w:val="single" w:color="000000"/>
          <w:lang w:val="en-US" w:eastAsia="zh-CN" w:bidi="ar-SA"/>
        </w:rPr>
      </w:pPr>
    </w:p>
    <w:p>
      <w:pPr>
        <w:pStyle w:val="6"/>
        <w:keepNext w:val="0"/>
        <w:keepLines w:val="0"/>
        <w:pageBreakBefore w:val="0"/>
        <w:widowControl w:val="0"/>
        <w:kinsoku/>
        <w:overflowPunct/>
        <w:topLinePunct w:val="0"/>
        <w:autoSpaceDE/>
        <w:autoSpaceDN/>
        <w:bidi w:val="0"/>
        <w:adjustRightInd/>
        <w:textAlignment w:val="auto"/>
        <w:rPr>
          <w:rStyle w:val="13"/>
          <w:rFonts w:ascii="Times New Roman" w:hAnsi="Times New Roman" w:eastAsia="仿宋_GB2312"/>
          <w:b w:val="0"/>
          <w:bCs w:val="0"/>
          <w:i w:val="0"/>
          <w:caps w:val="0"/>
          <w:color w:val="000000"/>
          <w:spacing w:val="0"/>
          <w:w w:val="100"/>
          <w:kern w:val="0"/>
          <w:sz w:val="24"/>
          <w:szCs w:val="24"/>
          <w:u w:val="single" w:color="000000"/>
          <w:lang w:val="en-US" w:eastAsia="zh-CN" w:bidi="ar-SA"/>
        </w:rPr>
      </w:pPr>
    </w:p>
    <w:sectPr>
      <w:pgSz w:w="11906" w:h="16838"/>
      <w:pgMar w:top="1701" w:right="1531" w:bottom="1417" w:left="1531" w:header="851" w:footer="680" w:gutter="0"/>
      <w:lnNumType w:countBy="0"/>
      <w:pgNumType w:fmt="numberInDash"/>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jc w:val="left"/>
      <w:textAlignment w:val="baseline"/>
      <w:rPr>
        <w:rStyle w:val="13"/>
        <w:rFonts w:ascii="Calibri" w:hAnsi="Calibri"/>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zEIRckBAACZ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MQhFyQEAAJkDAAAOAAAAAAAAAAEAIAAAAB4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Style w:val="13"/>
        <w:rFonts w:ascii="Calibri" w:hAnsi="Calibri"/>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8"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6350">
                        <a:noFill/>
                      </a:ln>
                    </wps:spPr>
                    <wps:txbx>
                      <w:txbxContent>
                        <w:p>
                          <w:pPr>
                            <w:pStyle w:val="4"/>
                            <w:widowControl/>
                            <w:snapToGrid w:val="0"/>
                            <w:jc w:val="left"/>
                            <w:textAlignment w:val="baseline"/>
                            <w:rPr>
                              <w:rStyle w:val="13"/>
                              <w:rFonts w:ascii="宋体" w:hAnsi="宋体"/>
                              <w:kern w:val="2"/>
                              <w:sz w:val="28"/>
                              <w:szCs w:val="28"/>
                              <w:lang w:val="en-US" w:eastAsia="zh-CN" w:bidi="ar-SA"/>
                            </w:rPr>
                          </w:pPr>
                        </w:p>
                        <w:p>
                          <w:pPr>
                            <w:jc w:val="both"/>
                            <w:textAlignment w:val="baseline"/>
                            <w:rPr>
                              <w:rStyle w:val="13"/>
                              <w:rFonts w:ascii="Calibri" w:hAnsi="Calibri"/>
                              <w:kern w:val="2"/>
                              <w:sz w:val="21"/>
                              <w:szCs w:val="24"/>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top:0pt;height:18.15pt;width:42.05pt;mso-position-horizontal:outside;mso-position-horizontal-relative:margin;z-index:251659264;mso-width-relative:page;mso-height-relative:page;" filled="f" stroked="f" coordsize="21600,21600" o:gfxdata="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E8L8PTAAAAAwEAAA8AAAAAAAAAAQAgAAAAIgAAAGRycy9kb3ducmV2LnhtbFBL&#10;AQIUABQAAAAIAIdO4kBXYontwgEAAHoDAAAOAAAAAAAAAAEAIAAAACIBAABkcnMvZTJvRG9jLnht&#10;bFBLBQYAAAAABgAGAFkBAABWBQAAAAA=&#10;">
              <v:fill on="f" focussize="0,0"/>
              <v:stroke on="f" weight="0.5pt"/>
              <v:imagedata o:title=""/>
              <o:lock v:ext="edit" aspectratio="f"/>
              <v:textbox inset="0mm,0mm,0mm,0mm">
                <w:txbxContent>
                  <w:p>
                    <w:pPr>
                      <w:pStyle w:val="4"/>
                      <w:widowControl/>
                      <w:snapToGrid w:val="0"/>
                      <w:jc w:val="left"/>
                      <w:textAlignment w:val="baseline"/>
                      <w:rPr>
                        <w:rStyle w:val="13"/>
                        <w:rFonts w:ascii="宋体" w:hAnsi="宋体"/>
                        <w:kern w:val="2"/>
                        <w:sz w:val="28"/>
                        <w:szCs w:val="28"/>
                        <w:lang w:val="en-US" w:eastAsia="zh-CN" w:bidi="ar-SA"/>
                      </w:rPr>
                    </w:pPr>
                  </w:p>
                  <w:p>
                    <w:pPr>
                      <w:jc w:val="both"/>
                      <w:textAlignment w:val="baseline"/>
                      <w:rPr>
                        <w:rStyle w:val="13"/>
                        <w:rFonts w:ascii="Calibri" w:hAnsi="Calibri"/>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NWUzM2FjMmI1NjVmZGEwNTdhNWJjNTYxZGM1NTcifQ=="/>
  </w:docVars>
  <w:rsids>
    <w:rsidRoot w:val="00000000"/>
    <w:rsid w:val="02C86101"/>
    <w:rsid w:val="03031491"/>
    <w:rsid w:val="03F44718"/>
    <w:rsid w:val="04EB042F"/>
    <w:rsid w:val="0588271A"/>
    <w:rsid w:val="061A5470"/>
    <w:rsid w:val="06A13572"/>
    <w:rsid w:val="06C64D5B"/>
    <w:rsid w:val="07955F08"/>
    <w:rsid w:val="07B20C1C"/>
    <w:rsid w:val="08415732"/>
    <w:rsid w:val="08BB7D26"/>
    <w:rsid w:val="09C0632E"/>
    <w:rsid w:val="0A587B48"/>
    <w:rsid w:val="0A79028B"/>
    <w:rsid w:val="0BE21832"/>
    <w:rsid w:val="0DA45021"/>
    <w:rsid w:val="0DC14423"/>
    <w:rsid w:val="11132B48"/>
    <w:rsid w:val="119A56B6"/>
    <w:rsid w:val="12E024D3"/>
    <w:rsid w:val="14CF2DFF"/>
    <w:rsid w:val="168D57EA"/>
    <w:rsid w:val="18514491"/>
    <w:rsid w:val="1AD05CA5"/>
    <w:rsid w:val="1B1F7529"/>
    <w:rsid w:val="1C197B20"/>
    <w:rsid w:val="1E957931"/>
    <w:rsid w:val="1F533349"/>
    <w:rsid w:val="246B4C91"/>
    <w:rsid w:val="25180974"/>
    <w:rsid w:val="257227BA"/>
    <w:rsid w:val="274A3283"/>
    <w:rsid w:val="29902E29"/>
    <w:rsid w:val="2AF84251"/>
    <w:rsid w:val="2B807273"/>
    <w:rsid w:val="2CDF446E"/>
    <w:rsid w:val="2D18223F"/>
    <w:rsid w:val="2D3327C9"/>
    <w:rsid w:val="2E173476"/>
    <w:rsid w:val="30233EAF"/>
    <w:rsid w:val="321E5800"/>
    <w:rsid w:val="326A4E14"/>
    <w:rsid w:val="32C43EEA"/>
    <w:rsid w:val="338F56A4"/>
    <w:rsid w:val="33A03BEC"/>
    <w:rsid w:val="33F56325"/>
    <w:rsid w:val="34B363E5"/>
    <w:rsid w:val="37D47B5E"/>
    <w:rsid w:val="388008B3"/>
    <w:rsid w:val="38D31E3C"/>
    <w:rsid w:val="39CA7C94"/>
    <w:rsid w:val="3A2B0CF2"/>
    <w:rsid w:val="3B4C7172"/>
    <w:rsid w:val="3C0C7849"/>
    <w:rsid w:val="3C255EC8"/>
    <w:rsid w:val="3C5250A5"/>
    <w:rsid w:val="3ECB4852"/>
    <w:rsid w:val="3F9D4347"/>
    <w:rsid w:val="3FEE4D48"/>
    <w:rsid w:val="40056133"/>
    <w:rsid w:val="40231F80"/>
    <w:rsid w:val="41A4543F"/>
    <w:rsid w:val="42D552A6"/>
    <w:rsid w:val="43D9531B"/>
    <w:rsid w:val="43F00EA1"/>
    <w:rsid w:val="440525B4"/>
    <w:rsid w:val="44C05ACA"/>
    <w:rsid w:val="45B222C8"/>
    <w:rsid w:val="45F64CE4"/>
    <w:rsid w:val="4600368D"/>
    <w:rsid w:val="46A53457"/>
    <w:rsid w:val="46C54618"/>
    <w:rsid w:val="48BD7DF2"/>
    <w:rsid w:val="48CB07F4"/>
    <w:rsid w:val="4A080708"/>
    <w:rsid w:val="4A121587"/>
    <w:rsid w:val="4A180D54"/>
    <w:rsid w:val="4C5B6284"/>
    <w:rsid w:val="4D2D2EC6"/>
    <w:rsid w:val="4F1D6A04"/>
    <w:rsid w:val="4F500C99"/>
    <w:rsid w:val="4FBE01E7"/>
    <w:rsid w:val="4FC86C1C"/>
    <w:rsid w:val="50EE4AFC"/>
    <w:rsid w:val="51B15232"/>
    <w:rsid w:val="52CB2081"/>
    <w:rsid w:val="53623447"/>
    <w:rsid w:val="573D4215"/>
    <w:rsid w:val="57B95737"/>
    <w:rsid w:val="583A6097"/>
    <w:rsid w:val="58937FD0"/>
    <w:rsid w:val="59831B59"/>
    <w:rsid w:val="5ADC3248"/>
    <w:rsid w:val="5B182775"/>
    <w:rsid w:val="5B370E4D"/>
    <w:rsid w:val="5BB4249E"/>
    <w:rsid w:val="5C337866"/>
    <w:rsid w:val="5C5477DD"/>
    <w:rsid w:val="5CD64176"/>
    <w:rsid w:val="5F74333D"/>
    <w:rsid w:val="60D64C64"/>
    <w:rsid w:val="64095351"/>
    <w:rsid w:val="64296F6B"/>
    <w:rsid w:val="659438DB"/>
    <w:rsid w:val="668F2F5B"/>
    <w:rsid w:val="68CF4DBB"/>
    <w:rsid w:val="6A0953F7"/>
    <w:rsid w:val="6B2E61E0"/>
    <w:rsid w:val="6B6A2B79"/>
    <w:rsid w:val="6C125021"/>
    <w:rsid w:val="6E094833"/>
    <w:rsid w:val="6ED03C4B"/>
    <w:rsid w:val="77E43CB3"/>
    <w:rsid w:val="78D7413D"/>
    <w:rsid w:val="79E65AC0"/>
    <w:rsid w:val="7A6C2327"/>
    <w:rsid w:val="7B057F1B"/>
    <w:rsid w:val="7C242826"/>
    <w:rsid w:val="7C94044F"/>
    <w:rsid w:val="7DE40569"/>
    <w:rsid w:val="7E4F4EC8"/>
    <w:rsid w:val="7EB566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jc w:val="both"/>
      <w:textAlignment w:val="baseline"/>
    </w:pPr>
    <w:rPr>
      <w:rFonts w:ascii="Calibri" w:hAnsi="Calibri" w:eastAsia="宋体" w:cstheme="minorBidi"/>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99"/>
    <w:pPr>
      <w:ind w:left="420" w:leftChars="200"/>
    </w:pPr>
  </w:style>
  <w:style w:type="paragraph" w:styleId="4">
    <w:name w:val="footer"/>
    <w:basedOn w:val="1"/>
    <w:qFormat/>
    <w:uiPriority w:val="0"/>
    <w:pPr>
      <w:tabs>
        <w:tab w:val="center" w:pos="4153"/>
        <w:tab w:val="right" w:pos="8306"/>
      </w:tabs>
      <w:snapToGrid w:val="0"/>
      <w:jc w:val="left"/>
      <w:textAlignment w:val="baseline"/>
    </w:pPr>
    <w:rPr>
      <w:rFonts w:ascii="Calibri" w:hAnsi="Calibri"/>
      <w:kern w:val="2"/>
      <w:sz w:val="18"/>
      <w:szCs w:val="24"/>
      <w:lang w:val="en-US" w:eastAsia="zh-CN" w:bidi="ar-SA"/>
    </w:rPr>
  </w:style>
  <w:style w:type="paragraph" w:styleId="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kern w:val="2"/>
      <w:sz w:val="18"/>
      <w:szCs w:val="24"/>
      <w:lang w:val="en-US" w:eastAsia="zh-CN" w:bidi="ar-SA"/>
    </w:rPr>
  </w:style>
  <w:style w:type="paragraph" w:styleId="6">
    <w:name w:val="Body Text First Indent 2"/>
    <w:basedOn w:val="7"/>
    <w:qFormat/>
    <w:uiPriority w:val="99"/>
    <w:pPr>
      <w:ind w:firstLine="420" w:firstLineChars="200"/>
    </w:pPr>
  </w:style>
  <w:style w:type="paragraph" w:customStyle="1" w:styleId="7">
    <w:name w:val="正文缩进1"/>
    <w:basedOn w:val="8"/>
    <w:qFormat/>
    <w:uiPriority w:val="0"/>
    <w:pPr>
      <w:spacing w:line="580" w:lineRule="exact"/>
      <w:ind w:firstLine="0" w:firstLineChars="200"/>
    </w:pPr>
    <w:rPr>
      <w:rFonts w:ascii="仿宋_GB2312" w:hAnsi="仿宋_GB2312" w:eastAsia="仿宋_GB2312"/>
      <w:sz w:val="32"/>
      <w:szCs w:val="20"/>
    </w:rPr>
  </w:style>
  <w:style w:type="paragraph" w:customStyle="1" w:styleId="8">
    <w:name w:val="正文1"/>
    <w:qFormat/>
    <w:uiPriority w:val="0"/>
    <w:pPr>
      <w:widowControl w:val="0"/>
      <w:suppressAutoHyphens w:val="0"/>
      <w:bidi w:val="0"/>
      <w:spacing w:beforeLines="0" w:beforeAutospacing="0" w:afterLines="0" w:afterAutospacing="0"/>
      <w:jc w:val="both"/>
    </w:pPr>
    <w:rPr>
      <w:rFonts w:ascii="Calibri" w:hAnsi="Calibri" w:eastAsia="新宋体" w:cs="Times New Roman"/>
      <w:color w:val="auto"/>
      <w:kern w:val="2"/>
      <w:sz w:val="21"/>
      <w:szCs w:val="24"/>
      <w:lang w:val="en-US" w:eastAsia="zh-CN" w:bidi="hi-I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3"/>
    <w:link w:val="1"/>
    <w:qFormat/>
    <w:uiPriority w:val="0"/>
    <w:rPr>
      <w:b/>
    </w:rPr>
  </w:style>
  <w:style w:type="character" w:customStyle="1" w:styleId="13">
    <w:name w:val="NormalCharacter"/>
    <w:link w:val="1"/>
    <w:qFormat/>
    <w:uiPriority w:val="0"/>
  </w:style>
  <w:style w:type="table" w:customStyle="1" w:styleId="14">
    <w:name w:val="TableNormal"/>
    <w:qFormat/>
    <w:uiPriority w:val="0"/>
  </w:style>
  <w:style w:type="character" w:customStyle="1" w:styleId="15">
    <w:name w:val="PageNumber"/>
    <w:basedOn w:val="13"/>
    <w:link w:val="1"/>
    <w:qFormat/>
    <w:uiPriority w:val="0"/>
  </w:style>
  <w:style w:type="paragraph" w:customStyle="1" w:styleId="16">
    <w:name w:val="BodyText"/>
    <w:basedOn w:val="1"/>
    <w:qFormat/>
    <w:uiPriority w:val="0"/>
    <w:pPr>
      <w:ind w:left="106"/>
      <w:jc w:val="left"/>
      <w:textAlignment w:val="baseline"/>
    </w:pPr>
    <w:rPr>
      <w:rFonts w:ascii="仿宋_GB2312" w:hAnsi="Times New Roman" w:eastAsia="仿宋_GB2312"/>
      <w:kern w:val="0"/>
      <w:sz w:val="32"/>
      <w:szCs w:val="32"/>
      <w:lang w:val="en-US" w:eastAsia="zh-CN" w:bidi="ar-SA"/>
    </w:rPr>
  </w:style>
  <w:style w:type="paragraph" w:customStyle="1" w:styleId="17">
    <w:name w:val="HtmlNormal"/>
    <w:basedOn w:val="1"/>
    <w:qFormat/>
    <w:uiPriority w:val="0"/>
    <w:pPr>
      <w:jc w:val="left"/>
      <w:textAlignment w:val="baseline"/>
    </w:pPr>
    <w:rPr>
      <w:rFonts w:ascii="Calibri" w:hAnsi="Calibri" w:eastAsia="宋体"/>
      <w:kern w:val="0"/>
      <w:sz w:val="24"/>
      <w:szCs w:val="24"/>
      <w:lang w:val="en-US" w:eastAsia="zh-CN" w:bidi="ar-SA"/>
    </w:rPr>
  </w:style>
  <w:style w:type="table" w:customStyle="1" w:styleId="18">
    <w:name w:val="TableGrid"/>
    <w:basedOn w:val="1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36</Pages>
  <Words>13209</Words>
  <Characters>14291</Characters>
  <TotalTime>14</TotalTime>
  <ScaleCrop>false</ScaleCrop>
  <LinksUpToDate>false</LinksUpToDate>
  <CharactersWithSpaces>14703</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2022-06-20T09:00:00Z</dcterms:created>
  <dc:creator>Administrator</dc:creator>
  <cp:lastModifiedBy>等风的旗</cp:lastModifiedBy>
  <cp:lastPrinted>2022-07-14T01:36:00Z</cp:lastPrinted>
  <dcterms:modified xsi:type="dcterms:W3CDTF">2022-10-10T08:07:41Z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91292F8DD1D04CFE9928EFE7E92525B6</vt:lpwstr>
  </property>
</Properties>
</file>