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64" w:firstLineChars="2600"/>
        <w:rPr>
          <w:rFonts w:hint="default" w:ascii="Times New Roman" w:hAnsi="Times New Roman" w:cs="Times New Roman"/>
          <w:b/>
          <w:bCs/>
          <w:sz w:val="24"/>
          <w:szCs w:val="24"/>
          <w:lang w:eastAsia="zh-CN"/>
        </w:rPr>
      </w:pPr>
    </w:p>
    <w:p>
      <w:pPr>
        <w:ind w:firstLine="6264" w:firstLineChars="2600"/>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eastAsia="zh-CN"/>
        </w:rPr>
      </w:pPr>
    </w:p>
    <w:p>
      <w:pPr>
        <w:ind w:firstLine="6023" w:firstLineChars="250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邵环评</w:t>
      </w:r>
      <w:r>
        <w:rPr>
          <w:rFonts w:hint="default" w:ascii="Times New Roman" w:hAnsi="Times New Roman" w:cs="Times New Roman"/>
          <w:b/>
          <w:bCs/>
          <w:sz w:val="24"/>
          <w:szCs w:val="24"/>
          <w:lang w:val="en-US" w:eastAsia="zh-CN"/>
        </w:rPr>
        <w:t>[20</w:t>
      </w:r>
      <w:r>
        <w:rPr>
          <w:rFonts w:hint="eastAsia" w:ascii="Times New Roman" w:hAnsi="Times New Roman" w:cs="Times New Roman"/>
          <w:b/>
          <w:bCs/>
          <w:sz w:val="24"/>
          <w:szCs w:val="24"/>
          <w:lang w:val="en-US" w:eastAsia="zh-CN"/>
        </w:rPr>
        <w:t>20</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072号</w:t>
      </w:r>
      <w:r>
        <w:rPr>
          <w:rFonts w:hint="default" w:ascii="Times New Roman" w:hAnsi="Times New Roman" w:cs="Times New Roman"/>
          <w:b/>
          <w:bCs/>
          <w:sz w:val="24"/>
          <w:szCs w:val="24"/>
          <w:lang w:val="en-US" w:eastAsia="zh-CN"/>
        </w:rPr>
        <w:t xml:space="preserve"> </w:t>
      </w:r>
    </w:p>
    <w:p>
      <w:pPr>
        <w:ind w:firstLine="6325" w:firstLineChars="3000"/>
        <w:rPr>
          <w:rFonts w:hint="default" w:ascii="Times New Roman" w:hAnsi="Times New Roman" w:cs="Times New Roman"/>
          <w:b/>
          <w:bCs/>
          <w:lang w:val="en-US" w:eastAsia="zh-CN"/>
        </w:rPr>
      </w:pPr>
    </w:p>
    <w:p>
      <w:pPr>
        <w:ind w:firstLine="6325" w:firstLineChars="3000"/>
        <w:rPr>
          <w:rFonts w:hint="default" w:ascii="Times New Roman" w:hAnsi="Times New Roman" w:cs="Times New Roman"/>
          <w:b/>
          <w:bCs/>
          <w:lang w:val="en-US" w:eastAsia="zh-CN"/>
        </w:rPr>
      </w:pPr>
    </w:p>
    <w:p>
      <w:pPr>
        <w:ind w:left="1084" w:hanging="1084" w:hangingChars="3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关于邵东县三顺五金工具厂年产120万把扳手生产线改扩建项目环境影响报告表的批复</w:t>
      </w: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邵东县三顺五金工具厂</w:t>
      </w:r>
      <w:r>
        <w:rPr>
          <w:rFonts w:hint="default" w:ascii="Times New Roman" w:hAnsi="Times New Roman"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你单位报送的《</w:t>
      </w:r>
      <w:r>
        <w:rPr>
          <w:rFonts w:hint="eastAsia" w:ascii="Times New Roman" w:hAnsi="Times New Roman" w:eastAsia="宋体" w:cs="Times New Roman"/>
          <w:b w:val="0"/>
          <w:bCs w:val="0"/>
          <w:sz w:val="24"/>
          <w:szCs w:val="24"/>
          <w:lang w:val="en-US" w:eastAsia="zh-CN"/>
        </w:rPr>
        <w:t>邵东县三顺五金工具厂年产120万把扳手生产线改扩建项目</w:t>
      </w:r>
      <w:r>
        <w:rPr>
          <w:rFonts w:hint="default" w:ascii="Times New Roman" w:hAnsi="Times New Roman" w:eastAsia="宋体" w:cs="Times New Roman"/>
          <w:b w:val="0"/>
          <w:bCs w:val="0"/>
          <w:sz w:val="24"/>
          <w:szCs w:val="24"/>
          <w:lang w:val="en-US" w:eastAsia="zh-CN"/>
        </w:rPr>
        <w:t>环境影响报告表》</w:t>
      </w:r>
      <w:r>
        <w:rPr>
          <w:rFonts w:hint="eastAsia" w:ascii="Times New Roman" w:hAnsi="Times New Roman" w:eastAsia="宋体" w:cs="Times New Roman"/>
          <w:b w:val="0"/>
          <w:bCs w:val="0"/>
          <w:sz w:val="24"/>
          <w:szCs w:val="24"/>
          <w:lang w:val="en-US" w:eastAsia="zh-CN"/>
        </w:rPr>
        <w:t>以及项目申请批复的报告</w:t>
      </w:r>
      <w:r>
        <w:rPr>
          <w:rFonts w:hint="default" w:ascii="Times New Roman" w:hAnsi="Times New Roman" w:eastAsia="宋体" w:cs="Times New Roman"/>
          <w:b w:val="0"/>
          <w:bCs w:val="0"/>
          <w:sz w:val="24"/>
          <w:szCs w:val="24"/>
          <w:lang w:val="en-US" w:eastAsia="zh-CN"/>
        </w:rPr>
        <w:t>已收悉。经研究，现批复如下：</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val="0"/>
          <w:bCs w:val="0"/>
          <w:sz w:val="24"/>
          <w:szCs w:val="24"/>
          <w:lang w:val="en-US" w:eastAsia="zh-CN"/>
        </w:rPr>
        <w:t>一、</w:t>
      </w:r>
      <w:r>
        <w:rPr>
          <w:rFonts w:hint="default" w:ascii="Times New Roman" w:hAnsi="Times New Roman" w:eastAsia="宋体" w:cs="Times New Roman"/>
          <w:b w:val="0"/>
          <w:bCs w:val="0"/>
          <w:sz w:val="24"/>
          <w:szCs w:val="24"/>
          <w:lang w:val="en-US" w:eastAsia="zh-CN"/>
        </w:rPr>
        <w:t>你单位投资</w:t>
      </w:r>
      <w:r>
        <w:rPr>
          <w:rFonts w:hint="eastAsia" w:ascii="Times New Roman" w:hAnsi="Times New Roman" w:eastAsia="宋体" w:cs="Times New Roman"/>
          <w:b w:val="0"/>
          <w:bCs w:val="0"/>
          <w:sz w:val="24"/>
          <w:szCs w:val="24"/>
          <w:lang w:val="en-US" w:eastAsia="zh-CN"/>
        </w:rPr>
        <w:t>100</w:t>
      </w:r>
      <w:r>
        <w:rPr>
          <w:rFonts w:hint="default" w:ascii="Times New Roman" w:hAnsi="Times New Roman" w:eastAsia="宋体" w:cs="Times New Roman"/>
          <w:b w:val="0"/>
          <w:bCs w:val="0"/>
          <w:sz w:val="24"/>
          <w:szCs w:val="24"/>
          <w:lang w:val="en-US" w:eastAsia="zh-CN"/>
        </w:rPr>
        <w:t>万元在</w:t>
      </w:r>
      <w:r>
        <w:rPr>
          <w:rFonts w:hint="eastAsia" w:ascii="Times New Roman" w:hAnsi="Times New Roman" w:eastAsia="宋体" w:cs="Times New Roman"/>
          <w:b w:val="0"/>
          <w:bCs w:val="0"/>
          <w:sz w:val="24"/>
          <w:szCs w:val="24"/>
          <w:lang w:val="en-US" w:eastAsia="zh-CN"/>
        </w:rPr>
        <w:t>湖南省</w:t>
      </w:r>
      <w:r>
        <w:rPr>
          <w:rFonts w:hint="default" w:ascii="Times New Roman" w:hAnsi="Times New Roman" w:eastAsia="宋体" w:cs="Times New Roman"/>
          <w:b w:val="0"/>
          <w:bCs w:val="0"/>
          <w:sz w:val="24"/>
          <w:szCs w:val="24"/>
          <w:lang w:val="en-US" w:eastAsia="zh-CN"/>
        </w:rPr>
        <w:t>邵东</w:t>
      </w:r>
      <w:r>
        <w:rPr>
          <w:rFonts w:hint="eastAsia" w:ascii="Times New Roman" w:hAnsi="Times New Roman" w:eastAsia="宋体" w:cs="Times New Roman"/>
          <w:b w:val="0"/>
          <w:bCs w:val="0"/>
          <w:sz w:val="24"/>
          <w:szCs w:val="24"/>
          <w:lang w:val="en-US" w:eastAsia="zh-CN"/>
        </w:rPr>
        <w:t>市仙槎桥</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工业园（</w:t>
      </w:r>
      <w:r>
        <w:rPr>
          <w:rFonts w:hint="eastAsia"/>
          <w:sz w:val="24"/>
          <w:szCs w:val="24"/>
          <w:shd w:val="clear" w:color="auto" w:fill="FFFFFF"/>
        </w:rPr>
        <w:t>E</w:t>
      </w:r>
      <w:r>
        <w:rPr>
          <w:sz w:val="24"/>
          <w:szCs w:val="24"/>
          <w:shd w:val="clear" w:color="auto" w:fill="FFFFFF"/>
        </w:rPr>
        <w:t>111</w:t>
      </w:r>
      <w:r>
        <w:rPr>
          <w:rFonts w:hint="eastAsia"/>
          <w:sz w:val="24"/>
          <w:szCs w:val="24"/>
          <w:shd w:val="clear" w:color="auto" w:fill="FFFFFF"/>
          <w:lang w:val="en-US" w:eastAsia="zh-CN"/>
        </w:rPr>
        <w:t>.710567</w:t>
      </w:r>
      <w:r>
        <w:rPr>
          <w:sz w:val="24"/>
          <w:szCs w:val="24"/>
          <w:shd w:val="clear" w:color="auto" w:fill="FFFFFF"/>
        </w:rPr>
        <w:t>° N27</w:t>
      </w:r>
      <w:r>
        <w:rPr>
          <w:rFonts w:hint="eastAsia"/>
          <w:sz w:val="24"/>
          <w:szCs w:val="24"/>
          <w:shd w:val="clear" w:color="auto" w:fill="FFFFFF"/>
          <w:lang w:val="en-US" w:eastAsia="zh-CN"/>
        </w:rPr>
        <w:t>.170558</w:t>
      </w:r>
      <w:r>
        <w:rPr>
          <w:sz w:val="24"/>
          <w:szCs w:val="24"/>
          <w:shd w:val="clear" w:color="auto" w:fill="FFFFFF"/>
        </w:rPr>
        <w:t>°</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color w:val="auto"/>
          <w:sz w:val="24"/>
          <w:szCs w:val="24"/>
          <w:highlight w:val="none"/>
          <w:lang w:eastAsia="zh-CN"/>
        </w:rPr>
        <w:t>建设年</w:t>
      </w:r>
      <w:r>
        <w:rPr>
          <w:rFonts w:hint="eastAsia" w:ascii="Times New Roman" w:hAnsi="Times New Roman" w:eastAsia="宋体" w:cs="Times New Roman"/>
          <w:color w:val="auto"/>
          <w:sz w:val="24"/>
          <w:szCs w:val="24"/>
          <w:highlight w:val="none"/>
          <w:lang w:eastAsia="zh-CN"/>
        </w:rPr>
        <w:t>产</w:t>
      </w:r>
      <w:r>
        <w:rPr>
          <w:rFonts w:hint="eastAsia" w:ascii="Times New Roman" w:hAnsi="Times New Roman" w:eastAsia="宋体" w:cs="Times New Roman"/>
          <w:color w:val="auto"/>
          <w:sz w:val="24"/>
          <w:szCs w:val="24"/>
          <w:highlight w:val="none"/>
          <w:lang w:val="en-US" w:eastAsia="zh-CN"/>
        </w:rPr>
        <w:t>120万把</w:t>
      </w:r>
      <w:r>
        <w:rPr>
          <w:rFonts w:hint="eastAsia" w:ascii="Times New Roman" w:hAnsi="Times New Roman" w:eastAsia="宋体" w:cs="Times New Roman"/>
          <w:b w:val="0"/>
          <w:bCs w:val="0"/>
          <w:sz w:val="24"/>
          <w:szCs w:val="24"/>
          <w:lang w:val="en-US" w:eastAsia="zh-CN"/>
        </w:rPr>
        <w:t>扳手</w:t>
      </w:r>
      <w:r>
        <w:rPr>
          <w:rFonts w:hint="default" w:ascii="Times New Roman" w:hAnsi="Times New Roman" w:eastAsia="宋体" w:cs="Times New Roman"/>
          <w:color w:val="auto"/>
          <w:sz w:val="24"/>
          <w:szCs w:val="24"/>
          <w:highlight w:val="none"/>
          <w:lang w:val="en-US" w:eastAsia="zh-CN"/>
        </w:rPr>
        <w:t>生产线</w:t>
      </w:r>
      <w:r>
        <w:rPr>
          <w:rFonts w:hint="eastAsia" w:ascii="Times New Roman" w:hAnsi="Times New Roman" w:eastAsia="宋体" w:cs="Times New Roman"/>
          <w:color w:val="auto"/>
          <w:sz w:val="24"/>
          <w:szCs w:val="24"/>
          <w:highlight w:val="none"/>
          <w:lang w:val="en-US" w:eastAsia="zh-CN"/>
        </w:rPr>
        <w:t>。项目占地面积1010平方米，主要包括生产车间（锻压车间、打磨车间、机加工车间、装配车间）、原料仓库、成品仓库、办公楼等主体工程，同时配套建设</w:t>
      </w:r>
      <w:r>
        <w:rPr>
          <w:rFonts w:hint="eastAsia" w:ascii="宋体" w:hAnsi="宋体" w:eastAsia="宋体" w:cs="宋体"/>
          <w:color w:val="auto"/>
          <w:sz w:val="24"/>
          <w:szCs w:val="24"/>
          <w:lang w:val="en-US" w:eastAsia="zh-CN"/>
        </w:rPr>
        <w:t>沉淀池</w:t>
      </w:r>
      <w:r>
        <w:rPr>
          <w:rFonts w:hint="eastAsia" w:ascii="Times New Roman" w:hAnsi="Times New Roman" w:eastAsia="宋体" w:cs="Times New Roman"/>
          <w:color w:val="auto"/>
          <w:sz w:val="24"/>
          <w:szCs w:val="24"/>
          <w:highlight w:val="none"/>
          <w:lang w:val="en-US" w:eastAsia="zh-CN"/>
        </w:rPr>
        <w:t>、化粪池等环保设施。</w:t>
      </w:r>
      <w:r>
        <w:rPr>
          <w:rFonts w:hint="eastAsia" w:ascii="宋体" w:hAnsi="宋体"/>
          <w:sz w:val="24"/>
          <w:szCs w:val="24"/>
        </w:rPr>
        <w:t>根据国家发展改革委第2</w:t>
      </w:r>
      <w:r>
        <w:rPr>
          <w:rFonts w:hint="eastAsia" w:ascii="宋体" w:hAnsi="宋体"/>
          <w:sz w:val="24"/>
          <w:szCs w:val="24"/>
          <w:lang w:val="en-US" w:eastAsia="zh-CN"/>
        </w:rPr>
        <w:t>9</w:t>
      </w:r>
      <w:r>
        <w:rPr>
          <w:rFonts w:hint="eastAsia" w:ascii="宋体" w:hAnsi="宋体"/>
          <w:sz w:val="24"/>
          <w:szCs w:val="24"/>
        </w:rPr>
        <w:t>号令《产业结构调整指导目录（201</w:t>
      </w:r>
      <w:r>
        <w:rPr>
          <w:rFonts w:hint="eastAsia" w:ascii="宋体" w:hAnsi="宋体"/>
          <w:sz w:val="24"/>
          <w:szCs w:val="24"/>
          <w:lang w:val="en-US" w:eastAsia="zh-CN"/>
        </w:rPr>
        <w:t>9</w:t>
      </w:r>
      <w:r>
        <w:rPr>
          <w:rFonts w:hint="eastAsia" w:ascii="宋体" w:hAnsi="宋体"/>
          <w:sz w:val="24"/>
          <w:szCs w:val="24"/>
        </w:rPr>
        <w:t>年本）》</w:t>
      </w:r>
      <w:r>
        <w:rPr>
          <w:rFonts w:hint="eastAsia" w:ascii="宋体" w:hAnsi="宋体"/>
          <w:sz w:val="24"/>
          <w:szCs w:val="24"/>
          <w:lang w:val="en-US" w:eastAsia="zh-CN"/>
        </w:rPr>
        <w:t xml:space="preserve"> ,</w:t>
      </w:r>
      <w:r>
        <w:rPr>
          <w:rFonts w:hint="eastAsia" w:ascii="Times New Roman" w:hAnsi="Times New Roman" w:eastAsia="宋体" w:cs="Times New Roman"/>
          <w:color w:val="auto"/>
          <w:sz w:val="24"/>
          <w:szCs w:val="24"/>
          <w:highlight w:val="none"/>
          <w:lang w:val="en-US" w:eastAsia="zh-CN"/>
        </w:rPr>
        <w:t>该项目符合国家产业政策要求。根据贵州博远环咨科技有限公司编制的建设项目环境影响报告表的分析结论，在你单位认真落实环评报告表提出的环保措施，确保外排污染物达标的前提下，从环境保护的角度，同意你单位按照报告表确定的地点、规模、工艺、污染防治措施实施该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二、在项目的实施过程中，重点做好以下几项工作：</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宋体" w:hAnsi="宋体" w:eastAsia="宋体" w:cs="宋体"/>
          <w:color w:val="000000"/>
          <w:sz w:val="24"/>
          <w:szCs w:val="24"/>
          <w:lang w:val="en-US" w:eastAsia="zh-CN"/>
        </w:rPr>
      </w:pPr>
      <w:r>
        <w:rPr>
          <w:rFonts w:hint="eastAsia" w:ascii="Times New Roman" w:hAnsi="Times New Roman" w:eastAsia="宋体" w:cs="Times New Roman"/>
          <w:color w:val="auto"/>
          <w:sz w:val="24"/>
          <w:szCs w:val="24"/>
          <w:highlight w:val="none"/>
          <w:lang w:val="en-US" w:eastAsia="zh-CN"/>
        </w:rPr>
        <w:t>控制废水污染物排放。</w:t>
      </w:r>
      <w:r>
        <w:rPr>
          <w:rFonts w:hint="eastAsia"/>
          <w:sz w:val="24"/>
          <w:szCs w:val="24"/>
          <w:lang w:eastAsia="zh-CN"/>
        </w:rPr>
        <w:t>锻压成型</w:t>
      </w:r>
      <w:r>
        <w:rPr>
          <w:rFonts w:hint="eastAsia" w:ascii="Times New Roman" w:hAnsi="Times New Roman" w:eastAsia="宋体" w:cs="Times New Roman"/>
          <w:color w:val="auto"/>
          <w:sz w:val="24"/>
          <w:szCs w:val="24"/>
          <w:highlight w:val="none"/>
          <w:lang w:val="en-US" w:eastAsia="zh-CN"/>
        </w:rPr>
        <w:t>工序电炉冷却水经冷却</w:t>
      </w:r>
      <w:r>
        <w:rPr>
          <w:rFonts w:hint="eastAsia" w:ascii="Times New Roman" w:hAnsi="Times New Roman" w:eastAsia="宋体" w:cs="Times New Roman"/>
          <w:b w:val="0"/>
          <w:bCs w:val="0"/>
          <w:sz w:val="24"/>
          <w:szCs w:val="24"/>
          <w:lang w:val="en-US" w:eastAsia="zh-CN"/>
        </w:rPr>
        <w:t>循环塔</w:t>
      </w:r>
      <w:r>
        <w:rPr>
          <w:rFonts w:hint="eastAsia" w:ascii="Times New Roman" w:hAnsi="Times New Roman" w:eastAsia="宋体" w:cs="Times New Roman"/>
          <w:color w:val="auto"/>
          <w:sz w:val="24"/>
          <w:szCs w:val="24"/>
          <w:highlight w:val="none"/>
          <w:lang w:val="en-US" w:eastAsia="zh-CN"/>
        </w:rPr>
        <w:t>冷却处理后循环利用，</w:t>
      </w:r>
      <w:r>
        <w:rPr>
          <w:rFonts w:hint="eastAsia" w:ascii="宋体" w:hAnsi="宋体" w:eastAsia="宋体" w:cs="宋体"/>
          <w:color w:val="auto"/>
          <w:sz w:val="24"/>
          <w:szCs w:val="24"/>
          <w:lang w:val="en-US" w:eastAsia="zh-CN"/>
        </w:rPr>
        <w:t>不外排；拋光工序</w:t>
      </w:r>
      <w:r>
        <w:rPr>
          <w:rFonts w:hint="eastAsia" w:ascii="宋体" w:hAnsi="宋体" w:eastAsia="宋体" w:cs="宋体"/>
          <w:color w:val="000000"/>
          <w:sz w:val="24"/>
          <w:szCs w:val="24"/>
          <w:lang w:val="en-US" w:eastAsia="zh-CN"/>
        </w:rPr>
        <w:t>喷淋</w:t>
      </w:r>
      <w:r>
        <w:rPr>
          <w:rFonts w:hint="eastAsia" w:ascii="Times New Roman" w:hAnsi="Times New Roman" w:eastAsia="宋体" w:cs="Times New Roman"/>
          <w:color w:val="auto"/>
          <w:sz w:val="24"/>
          <w:szCs w:val="24"/>
          <w:highlight w:val="none"/>
          <w:lang w:val="en-US" w:eastAsia="zh-CN"/>
        </w:rPr>
        <w:t>除尘废水经</w:t>
      </w:r>
      <w:r>
        <w:rPr>
          <w:rFonts w:hint="eastAsia" w:ascii="Times New Roman" w:hAnsi="Times New Roman" w:eastAsia="宋体" w:cs="Times New Roman"/>
          <w:b w:val="0"/>
          <w:bCs w:val="0"/>
          <w:sz w:val="24"/>
          <w:szCs w:val="24"/>
          <w:lang w:val="en-US" w:eastAsia="zh-CN"/>
        </w:rPr>
        <w:t>沉淀池沉淀处理后回用</w:t>
      </w:r>
      <w:r>
        <w:rPr>
          <w:rFonts w:hint="eastAsia" w:ascii="宋体" w:hAnsi="宋体" w:eastAsia="宋体" w:cs="宋体"/>
          <w:color w:val="auto"/>
          <w:sz w:val="24"/>
          <w:szCs w:val="24"/>
          <w:lang w:val="en-US" w:eastAsia="zh-CN"/>
        </w:rPr>
        <w:t>，不外排；初期雨水</w:t>
      </w:r>
      <w:r>
        <w:rPr>
          <w:rFonts w:hint="eastAsia"/>
          <w:sz w:val="24"/>
          <w:szCs w:val="24"/>
          <w:lang w:eastAsia="zh-CN"/>
        </w:rPr>
        <w:t>经收集和</w:t>
      </w:r>
      <w:r>
        <w:rPr>
          <w:rFonts w:hint="eastAsia"/>
          <w:sz w:val="24"/>
          <w:szCs w:val="24"/>
        </w:rPr>
        <w:t>沉淀池</w:t>
      </w:r>
      <w:r>
        <w:rPr>
          <w:rFonts w:hint="eastAsia"/>
          <w:sz w:val="24"/>
          <w:szCs w:val="24"/>
          <w:lang w:eastAsia="zh-CN"/>
        </w:rPr>
        <w:t>处理后</w:t>
      </w:r>
      <w:r>
        <w:rPr>
          <w:rFonts w:hint="eastAsia"/>
          <w:sz w:val="24"/>
          <w:szCs w:val="24"/>
        </w:rPr>
        <w:t>，</w:t>
      </w:r>
      <w:r>
        <w:rPr>
          <w:rFonts w:hint="eastAsia"/>
          <w:sz w:val="24"/>
          <w:szCs w:val="24"/>
          <w:lang w:eastAsia="zh-CN"/>
        </w:rPr>
        <w:t>排入市政污水管网；</w:t>
      </w:r>
      <w:r>
        <w:rPr>
          <w:rFonts w:hint="eastAsia" w:ascii="宋体" w:hAnsi="宋体" w:eastAsia="宋体" w:cs="宋体"/>
          <w:color w:val="auto"/>
          <w:sz w:val="24"/>
          <w:szCs w:val="24"/>
          <w:lang w:val="en-US" w:eastAsia="zh-CN"/>
        </w:rPr>
        <w:t>生活污水经隔油池、化粪池处理后目前用作农肥，待仙槎桥污水处理厂投入使用后，达到《污水综合排放标准》（GB8978-1996)中的三级标准后通过园区管网排入污水处理厂。</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强化废气污染防治。拋光打磨产生的粉尘经喷淋除尘处理后外排，外排粉尘须达到《大气污染物综合排放标准》（GB16297-1996）表2中无组织排放监控浓度限值；</w:t>
      </w:r>
      <w:r>
        <w:rPr>
          <w:rFonts w:hint="eastAsia"/>
          <w:sz w:val="24"/>
          <w:szCs w:val="24"/>
        </w:rPr>
        <w:t>食堂油烟经油烟净化机处理后，通过</w:t>
      </w:r>
      <w:r>
        <w:rPr>
          <w:rFonts w:hint="eastAsia"/>
          <w:sz w:val="24"/>
          <w:szCs w:val="24"/>
          <w:lang w:eastAsia="zh-CN"/>
        </w:rPr>
        <w:t>专管于屋顶</w:t>
      </w:r>
      <w:r>
        <w:rPr>
          <w:rFonts w:hint="eastAsia"/>
          <w:sz w:val="24"/>
          <w:szCs w:val="24"/>
        </w:rPr>
        <w:t>排放，外排油烟</w:t>
      </w:r>
      <w:r>
        <w:rPr>
          <w:rFonts w:hint="eastAsia"/>
          <w:sz w:val="24"/>
          <w:szCs w:val="24"/>
          <w:lang w:eastAsia="zh-CN"/>
        </w:rPr>
        <w:t>须</w:t>
      </w:r>
      <w:r>
        <w:rPr>
          <w:rFonts w:hint="eastAsia"/>
          <w:sz w:val="24"/>
          <w:szCs w:val="24"/>
        </w:rPr>
        <w:t>符合《饮食业油烟排放标准（试行）》（GB18483-2001）</w:t>
      </w:r>
      <w:r>
        <w:rPr>
          <w:rFonts w:hint="eastAsia"/>
          <w:sz w:val="24"/>
          <w:szCs w:val="24"/>
          <w:lang w:eastAsia="zh-CN"/>
        </w:rPr>
        <w:t>中的小型规模标准。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加强噪声控制管理。选用先进的低噪声设备，对高噪声设备采取减振、消音、隔声等措施，确保厂界噪声达到《工业企业厂界环境噪声排放标准》（GB12348-2008）3类标准。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sz w:val="24"/>
          <w:szCs w:val="24"/>
          <w:lang w:val="en-US" w:eastAsia="zh-CN"/>
        </w:rPr>
        <w:t>妥善处置固体废物。按照“减量化、资源化、无害化”原则妥善处置固体废物。废物料、废包装纸</w:t>
      </w:r>
      <w:r>
        <w:rPr>
          <w:rFonts w:hint="eastAsia" w:ascii="Times New Roman" w:hAnsi="Times New Roman" w:eastAsia="宋体" w:cs="Times New Roman"/>
          <w:color w:val="auto"/>
          <w:sz w:val="24"/>
          <w:szCs w:val="24"/>
          <w:highlight w:val="none"/>
          <w:lang w:val="en-US" w:eastAsia="zh-CN"/>
        </w:rPr>
        <w:t>集中收集，暂存于厂区一般固废堆场定期外售废品站</w:t>
      </w:r>
      <w:r>
        <w:rPr>
          <w:rFonts w:hint="eastAsia"/>
          <w:sz w:val="24"/>
          <w:szCs w:val="24"/>
          <w:lang w:eastAsia="zh-CN"/>
        </w:rPr>
        <w:t>；</w:t>
      </w:r>
      <w:r>
        <w:rPr>
          <w:rFonts w:hint="eastAsia" w:ascii="Times New Roman" w:hAnsi="Times New Roman" w:eastAsia="宋体" w:cs="Times New Roman"/>
          <w:color w:val="auto"/>
          <w:sz w:val="24"/>
          <w:szCs w:val="24"/>
          <w:highlight w:val="none"/>
          <w:lang w:val="en-US" w:eastAsia="zh-CN"/>
        </w:rPr>
        <w:t>拋光打磨工序产生的粉尘收集后外售物资回收公司；废乳化液、废乳化液桶收集于危废暂存间，定期交有资质的单位处理，</w:t>
      </w:r>
      <w:r>
        <w:rPr>
          <w:rFonts w:hint="eastAsia" w:ascii="Times New Roman" w:hAnsi="Times New Roman" w:eastAsia="宋体" w:cs="Times New Roman"/>
          <w:b w:val="0"/>
          <w:bCs w:val="0"/>
          <w:sz w:val="24"/>
          <w:szCs w:val="24"/>
          <w:lang w:val="en-US" w:eastAsia="zh-CN"/>
        </w:rPr>
        <w:t>危险废物暂存间须满足</w:t>
      </w:r>
      <w:r>
        <w:rPr>
          <w:rFonts w:hint="eastAsia" w:ascii="Times New Roman" w:hAnsi="Times New Roman" w:cs="Times New Roman"/>
          <w:sz w:val="24"/>
          <w:szCs w:val="24"/>
          <w:lang w:val="en-US" w:eastAsia="zh-CN"/>
        </w:rPr>
        <w:t>《危险废物贮存污染控制标准》（GB18597-2001）及其修改单要求</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000000"/>
          <w:sz w:val="24"/>
          <w:szCs w:val="24"/>
          <w:lang w:val="en-US" w:eastAsia="zh-CN"/>
        </w:rPr>
        <w:t>生活垃圾统一收集后交由环卫部门送往垃圾填埋场填埋。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5、加强</w:t>
      </w:r>
      <w:r>
        <w:rPr>
          <w:rFonts w:hint="eastAsia" w:ascii="Times New Roman" w:hAnsi="Times New Roman" w:cs="Times New Roman"/>
          <w:sz w:val="24"/>
          <w:szCs w:val="24"/>
          <w:lang w:val="en-US" w:eastAsia="zh-CN"/>
        </w:rPr>
        <w:t>企业环境管理</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按环评要求合理布局生产设施和建设污染防治设施，建立健全生产与环境保护管理制度，实行清洁生产，全过程控制污染，保持良好的厂容厂貌。</w:t>
      </w:r>
    </w:p>
    <w:p>
      <w:pPr>
        <w:spacing w:line="520" w:lineRule="exact"/>
        <w:ind w:firstLine="480" w:firstLineChars="200"/>
        <w:jc w:val="left"/>
        <w:rPr>
          <w:rFonts w:hint="eastAsia"/>
          <w:sz w:val="24"/>
          <w:szCs w:val="24"/>
        </w:rPr>
      </w:pPr>
      <w:r>
        <w:rPr>
          <w:rFonts w:hint="eastAsia" w:ascii="Times New Roman" w:hAnsi="Times New Roman" w:eastAsia="宋体" w:cs="Times New Roman"/>
          <w:color w:val="000000"/>
          <w:sz w:val="24"/>
          <w:szCs w:val="24"/>
          <w:lang w:val="en-US" w:eastAsia="zh-CN"/>
        </w:rPr>
        <w:t>三、</w:t>
      </w:r>
      <w:r>
        <w:rPr>
          <w:rFonts w:hint="eastAsia"/>
          <w:sz w:val="24"/>
          <w:szCs w:val="24"/>
          <w:lang w:eastAsia="zh-CN"/>
        </w:rPr>
        <w:t>项目建成后，在启动生产设施或实际排污之前须申请排污许可证或完成排污许可信息登记。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四、按规定办理项目竣工环境保护验收手续，经验收合格后方可投入运营。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080" w:firstLineChars="1700"/>
        <w:jc w:val="both"/>
        <w:textAlignment w:val="auto"/>
        <w:outlineLvl w:val="9"/>
        <w:rPr>
          <w:rFonts w:hint="eastAsia" w:ascii="Times New Roman" w:hAnsi="Times New Roman" w:eastAsia="宋体" w:cs="Times New Roman"/>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5280" w:firstLineChars="2200"/>
        <w:jc w:val="both"/>
        <w:textAlignment w:val="auto"/>
        <w:outlineLvl w:val="9"/>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邵阳市生态环境局</w:t>
      </w:r>
      <w:r>
        <w:rPr>
          <w:rFonts w:hint="default" w:ascii="Times New Roman" w:hAnsi="Times New Roman" w:eastAsia="宋体" w:cs="Times New Roman"/>
          <w:b w:val="0"/>
          <w:bCs w:val="0"/>
          <w:sz w:val="24"/>
          <w:szCs w:val="24"/>
          <w:lang w:val="en-US" w:eastAsia="zh-CN"/>
        </w:rPr>
        <w:t>邵东</w:t>
      </w:r>
      <w:r>
        <w:rPr>
          <w:rFonts w:hint="eastAsia" w:ascii="Times New Roman" w:hAnsi="Times New Roman" w:eastAsia="宋体" w:cs="Times New Roman"/>
          <w:b w:val="0"/>
          <w:bCs w:val="0"/>
          <w:sz w:val="24"/>
          <w:szCs w:val="24"/>
          <w:lang w:val="en-US" w:eastAsia="zh-CN"/>
        </w:rPr>
        <w:t>分</w:t>
      </w:r>
      <w:r>
        <w:rPr>
          <w:rFonts w:hint="default" w:ascii="Times New Roman" w:hAnsi="Times New Roman" w:eastAsia="宋体" w:cs="Times New Roman"/>
          <w:b w:val="0"/>
          <w:bCs w:val="0"/>
          <w:sz w:val="24"/>
          <w:szCs w:val="24"/>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20</w:t>
      </w:r>
      <w:r>
        <w:rPr>
          <w:rFonts w:hint="eastAsia" w:ascii="Times New Roman" w:hAnsi="Times New Roman" w:eastAsia="宋体" w:cs="Times New Roman"/>
          <w:b w:val="0"/>
          <w:bCs w:val="0"/>
          <w:sz w:val="24"/>
          <w:szCs w:val="24"/>
          <w:lang w:val="en-US" w:eastAsia="zh-CN"/>
        </w:rPr>
        <w:t>20</w:t>
      </w:r>
      <w:r>
        <w:rPr>
          <w:rFonts w:hint="default" w:ascii="Times New Roman" w:hAnsi="Times New Roman" w:eastAsia="宋体" w:cs="Times New Roman"/>
          <w:b w:val="0"/>
          <w:bCs w:val="0"/>
          <w:sz w:val="24"/>
          <w:szCs w:val="24"/>
          <w:lang w:val="en-US" w:eastAsia="zh-CN"/>
        </w:rPr>
        <w:t>年</w:t>
      </w:r>
      <w:r>
        <w:rPr>
          <w:rFonts w:hint="eastAsia" w:ascii="Times New Roman" w:hAnsi="Times New Roman" w:eastAsia="宋体" w:cs="Times New Roman"/>
          <w:b w:val="0"/>
          <w:bCs w:val="0"/>
          <w:sz w:val="24"/>
          <w:szCs w:val="24"/>
          <w:lang w:val="en-US" w:eastAsia="zh-CN"/>
        </w:rPr>
        <w:t>12</w:t>
      </w:r>
      <w:r>
        <w:rPr>
          <w:rFonts w:hint="default" w:ascii="Times New Roman" w:hAnsi="Times New Roman" w:eastAsia="宋体" w:cs="Times New Roman"/>
          <w:b w:val="0"/>
          <w:bCs w:val="0"/>
          <w:sz w:val="24"/>
          <w:szCs w:val="24"/>
          <w:lang w:val="en-US" w:eastAsia="zh-CN"/>
        </w:rPr>
        <w:t>月</w:t>
      </w:r>
      <w:r>
        <w:rPr>
          <w:rFonts w:hint="eastAsia" w:ascii="Times New Roman" w:hAnsi="Times New Roman" w:eastAsia="宋体" w:cs="Times New Roman"/>
          <w:b w:val="0"/>
          <w:bCs w:val="0"/>
          <w:sz w:val="24"/>
          <w:szCs w:val="24"/>
          <w:lang w:val="en-US" w:eastAsia="zh-CN"/>
        </w:rPr>
        <w:t>18</w:t>
      </w:r>
      <w:r>
        <w:rPr>
          <w:rFonts w:hint="default" w:ascii="Times New Roman" w:hAnsi="Times New Roman" w:eastAsia="宋体" w:cs="Times New Roman"/>
          <w:b w:val="0"/>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jc w:val="both"/>
        <w:textAlignment w:val="auto"/>
        <w:outlineLvl w:val="9"/>
        <w:rPr>
          <w:rFonts w:hint="default" w:ascii="Times New Roman" w:hAnsi="Times New Roman" w:eastAsia="宋体" w:cs="Times New Roman"/>
          <w:b w:val="0"/>
          <w:bCs w:val="0"/>
          <w:sz w:val="24"/>
          <w:szCs w:val="24"/>
          <w:lang w:val="en-US" w:eastAsia="zh-CN"/>
        </w:rPr>
      </w:pPr>
    </w:p>
    <w:p/>
    <w:p/>
    <w:p/>
    <w:p/>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left"/>
        <w:textAlignment w:val="auto"/>
        <w:outlineLvl w:val="9"/>
        <w:rPr>
          <w:rFonts w:hint="default" w:ascii="Times New Roman" w:hAnsi="Times New Roman" w:eastAsia="宋体" w:cs="Times New Roman"/>
          <w:b w:val="0"/>
          <w:bCs w:val="0"/>
          <w:sz w:val="24"/>
          <w:szCs w:val="24"/>
          <w:lang w:val="en-US" w:eastAsia="zh-CN"/>
        </w:rPr>
      </w:pPr>
      <w:bookmarkStart w:id="0" w:name="_GoBack"/>
      <w:bookmarkEnd w:id="0"/>
      <w:r>
        <w:rPr>
          <w:rFonts w:hint="eastAsia" w:ascii="Times New Roman" w:hAnsi="Times New Roman" w:eastAsia="宋体" w:cs="Times New Roman"/>
          <w:color w:val="000000"/>
          <w:sz w:val="24"/>
          <w:szCs w:val="24"/>
          <w:lang w:val="en-US" w:eastAsia="zh-CN"/>
        </w:rPr>
        <w:t xml:space="preserve"> 抄送：</w:t>
      </w:r>
      <w:r>
        <w:rPr>
          <w:rFonts w:hint="eastAsia" w:ascii="Times New Roman" w:hAnsi="Times New Roman" w:eastAsia="宋体" w:cs="Times New Roman"/>
          <w:b w:val="0"/>
          <w:bCs w:val="0"/>
          <w:sz w:val="24"/>
          <w:szCs w:val="24"/>
          <w:lang w:val="en-US" w:eastAsia="zh-CN"/>
        </w:rPr>
        <w:t>仙槎桥</w:t>
      </w:r>
      <w:r>
        <w:rPr>
          <w:rFonts w:hint="default" w:ascii="Times New Roman" w:hAnsi="Times New Roman" w:eastAsia="宋体" w:cs="Times New Roman"/>
          <w:b w:val="0"/>
          <w:bCs w:val="0"/>
          <w:sz w:val="24"/>
          <w:szCs w:val="24"/>
          <w:lang w:val="en-US" w:eastAsia="zh-CN"/>
        </w:rPr>
        <w:t>镇</w:t>
      </w:r>
      <w:r>
        <w:rPr>
          <w:rFonts w:hint="eastAsia" w:ascii="Times New Roman" w:hAnsi="Times New Roman" w:eastAsia="宋体" w:cs="Times New Roman"/>
          <w:b w:val="0"/>
          <w:bCs w:val="0"/>
          <w:sz w:val="24"/>
          <w:szCs w:val="24"/>
          <w:lang w:val="en-US" w:eastAsia="zh-CN"/>
        </w:rPr>
        <w:t xml:space="preserve">人民政府   </w:t>
      </w:r>
      <w:r>
        <w:rPr>
          <w:rFonts w:hint="eastAsia" w:ascii="Times New Roman" w:hAnsi="Times New Roman" w:eastAsia="宋体" w:cs="Times New Roman"/>
          <w:color w:val="auto"/>
          <w:sz w:val="24"/>
          <w:szCs w:val="24"/>
          <w:highlight w:val="none"/>
          <w:lang w:val="en-US" w:eastAsia="zh-CN"/>
        </w:rPr>
        <w:t>贵州博远环咨科技有限公司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outlineLvl w:val="9"/>
        <w:rPr>
          <w:rFonts w:hint="default" w:ascii="Times New Roman" w:hAnsi="Times New Roman" w:eastAsia="宋体" w:cs="Times New Roman"/>
          <w:color w:val="0000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3EA92"/>
    <w:multiLevelType w:val="singleLevel"/>
    <w:tmpl w:val="A3B3EA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E34A3"/>
    <w:rsid w:val="072B7A95"/>
    <w:rsid w:val="093B2132"/>
    <w:rsid w:val="1C611717"/>
    <w:rsid w:val="1FDD682D"/>
    <w:rsid w:val="28910ADF"/>
    <w:rsid w:val="2DC2383B"/>
    <w:rsid w:val="2FA10FD8"/>
    <w:rsid w:val="471E06BD"/>
    <w:rsid w:val="491E34A3"/>
    <w:rsid w:val="509E21BE"/>
    <w:rsid w:val="5BED5D4C"/>
    <w:rsid w:val="6236767B"/>
    <w:rsid w:val="63071F64"/>
    <w:rsid w:val="65AD25E7"/>
    <w:rsid w:val="682E1AAF"/>
    <w:rsid w:val="6B9D182C"/>
    <w:rsid w:val="6E8C7117"/>
    <w:rsid w:val="6FF673A8"/>
    <w:rsid w:val="70320158"/>
    <w:rsid w:val="716A30D0"/>
    <w:rsid w:val="78E42805"/>
    <w:rsid w:val="7E074D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2020-12-07T08:08:00Z</dcterms:created>
  <dc:creator>Administrator</dc:creator>
  <cp:lastModifiedBy>Administrator</cp:lastModifiedBy>
  <cp:lastPrinted>2020-12-21T02:14:00Z</cp:lastPrinted>
  <dcterms:modified xsi:type="dcterms:W3CDTF">2020-12-22T05:47:19Z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