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方正大标宋简体" w:eastAsia="黑体"/>
        </w:rPr>
      </w:pPr>
      <w:r>
        <w:rPr>
          <w:rFonts w:ascii="黑体" w:hAnsi="方正大标宋简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-307340</wp:posOffset>
                </wp:positionV>
                <wp:extent cx="1589405" cy="442595"/>
                <wp:effectExtent l="0" t="0" r="10795" b="19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566" w:lineRule="atLeast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31"/>
                              </w:rPr>
                              <w:t>SDDR-20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  <w:lang w:val="en-US" w:eastAsia="zh-CN"/>
                              </w:rPr>
                              <w:t>00002</w:t>
                            </w:r>
                          </w:p>
                          <w:p>
                            <w:pPr>
                              <w:snapToGrid w:val="0"/>
                              <w:spacing w:line="620" w:lineRule="exact"/>
                            </w:pPr>
                          </w:p>
                          <w:p>
                            <w:pPr>
                              <w:snapToGrid w:val="0"/>
                              <w:spacing w:line="620" w:lineRule="exac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-24.2pt;height:34.85pt;width:125.15pt;z-index:251659264;mso-width-relative:page;mso-height-relative:page;" fillcolor="#FFFFFF" filled="t" stroked="f" coordsize="21600,21600" o:gfxdata="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fKsldcAAAAJAQAADwAAAAAAAAABACAAAAAi&#10;AAAAZHJzL2Rvd25yZXYueG1sUEsBAhQAFAAAAAgAh07iQDJ7qXLSAQAAqQMAAA4AAAAAAAAAAQAg&#10;AAAAJg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spacing w:line="566" w:lineRule="atLeast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 w:cs="黑体"/>
                          <w:sz w:val="31"/>
                        </w:rPr>
                        <w:t>SDDR-20</w:t>
                      </w:r>
                      <w:r>
                        <w:rPr>
                          <w:rFonts w:hint="eastAsia" w:ascii="黑体" w:eastAsia="黑体" w:cs="黑体"/>
                          <w:sz w:val="31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黑体" w:eastAsia="黑体" w:cs="黑体"/>
                          <w:sz w:val="31"/>
                        </w:rPr>
                        <w:t>-</w:t>
                      </w:r>
                      <w:r>
                        <w:rPr>
                          <w:rFonts w:hint="eastAsia" w:ascii="黑体" w:eastAsia="黑体" w:cs="黑体"/>
                          <w:sz w:val="31"/>
                          <w:lang w:val="en-US" w:eastAsia="zh-CN"/>
                        </w:rPr>
                        <w:t>00002</w:t>
                      </w:r>
                    </w:p>
                    <w:p>
                      <w:pPr>
                        <w:snapToGrid w:val="0"/>
                        <w:spacing w:line="620" w:lineRule="exact"/>
                      </w:pPr>
                    </w:p>
                    <w:p>
                      <w:pPr>
                        <w:snapToGrid w:val="0"/>
                        <w:spacing w:line="6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仿宋_GB2312" w:hAnsi="Calibri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center"/>
        <w:textAlignment w:val="auto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spacing w:line="600" w:lineRule="exact"/>
        <w:jc w:val="center"/>
        <w:rPr>
          <w:rFonts w:hint="eastAsia" w:ascii="仿宋_GB2312" w:hAnsi="方正大标宋简体" w:eastAsia="仿宋_GB2312" w:cs="黑体"/>
          <w:kern w:val="32"/>
          <w:sz w:val="32"/>
          <w:szCs w:val="32"/>
        </w:rPr>
      </w:pP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邵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  <w:lang w:eastAsia="zh-CN"/>
        </w:rPr>
        <w:t>东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政发〔20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  <w:lang w:val="en-US" w:eastAsia="zh-CN"/>
        </w:rPr>
        <w:t>23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〕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  <w:lang w:val="en-US" w:eastAsia="zh-CN"/>
        </w:rPr>
        <w:t>7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黑体"/>
          <w:kern w:val="32"/>
          <w:sz w:val="44"/>
          <w:szCs w:val="44"/>
        </w:rPr>
      </w:pPr>
      <w:r>
        <w:rPr>
          <w:rFonts w:hint="eastAsia" w:ascii="方正大标宋简体" w:hAnsi="方正大标宋简体" w:eastAsia="方正大标宋简体" w:cs="黑体"/>
          <w:kern w:val="32"/>
          <w:sz w:val="44"/>
          <w:szCs w:val="44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邵东市人民政府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关于赋予湖南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邵东经济开发区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行使市级部分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行政审批权限的通知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各乡镇人民政府、街道办事处、皇帝岭林场，市直有关单位：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为落实习近平总书记对湖南的重要指示批示精神，全面融入省委省政府“三高四新”战略，加快推进经济开发区转型升级和高质量发展，争创国家级开发区，根据《湖南省人民政府办公厅关于印发〈湖南省园区赋权指导目录〉的通知》（湘政办发〔2020〕49号）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《湖南省人民政府办公厅关于印发〈深化“放管服”改革助推“五好”园区建设二十条措施〉的通知》（湘政办发〔202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号）等精神，现就有关工作通知如下：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以习近平新时代中国特色社会主义思想为指导，全面落实党中央、国务院关于推进园区创新提升打造改革开放新高地的精神及省、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市关于园区改革创新发展的部署要求，坚持问题导向，以“园区事园区办”为目标，持续赋能园区，通过开展行政审批改革加快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创新开放、高质量发展。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工作原则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（一）分类集中，突出重点。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聚焦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推进园区建设转型升级及高质量发展需要赋权的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土地供应与项目推进、招商引资与招才引智、园区管理与服务三大类赋权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，将分散在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直相关部门的行政审批事项向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经济开发区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集中赋权，推行审批服务集中办理，实现园区事园区办。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（二）审管分离，权责对等。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按照“谁审批、谁负责，谁主管、谁监管，谁行权、谁担责”的原则，审批部门对审批行为及结果负责，监管部门对审批后的监管负责，建立健全审批部门与监管部门之间信息互通、政策互通、协同配合的工作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（三）优化服务，集中审批。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经济开发区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要深入推进政务服务标准化建设，加快推进“互联网+政务服务”一体化平台建设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。承接的赋权事项纳入园区政务大厅办理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构建功能完备、便捷高效的政务服务体系，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实现“一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个大厅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办事、一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枚印章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审批”，规范审批服务行为，提升政务服务质量，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切实提高行政效能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赋权审批范围为城区城镇开发边界范围内、“四园”规划区范围内经开区投资的建设项目，平台公司投资的建设项目，园区内招商产业项目。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（一）明确赋权事项。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根据湘政办发〔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49号文件精神，结合实际，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下放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项行政审批权限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（其中委托行使事项19项，直接赋权事项11项）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（见附件）。相关单位按照实际情况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前期安排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精干力量，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指导经济开发区做好赋权承接工作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（二）明确赋权方式及流程。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行政审批权限下放方式分为直接赋权、委托行使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种方式。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直接赋权事项。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由经济开发区审批办理，盖经济开发区“行政审批服务专用章”即对外发生法律效力。2.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委托行使事项。由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盖经济开发区“行政审批服务专用章”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审核通过的事项，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市直相关部门应充分认可经济开发区作出的审批服务决定，原则上不再做任何实质性的审查审核，采取“见章盖章”方式行使审批。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（三）明确收费标准。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与权限审批相关的各项收费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按照邵东市项目报建收费的相关规定统一核算后，报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刚性收费领导小组审批，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大厅财政局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窗口统一征收。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（四）明确责任划分。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审批的项目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含委托行使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管委会承担相应的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经济责任、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行政责任和法律责任。因直接赋权方式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含委托行使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行使经济社会管理权限所产生的行政复议应诉、行政赔偿、行政问责、信访事件及其法律后果，由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管委会具体负责和承办。相关部门对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区审批事项提供法律法规政策依据和技术服务等综合支撑，严格按照审批结果及时开展事中事后监管。相关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门与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权事项交接书或委托书，明确各方权利与责任。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（一）建立权力事项动态调整机制。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根据法律法规的颁布、修订、废止和赋权事项实际运行情况，及时对赋权事项进行动态调整。经济开发区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建立健全权力清单和责任清单, 编制每项行政权力运行的流程和办事指南，并通过多种渠道对外全面公开，确保权力在阳光下运行。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（二）加强事中事后指导。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行政审批事项赋权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运行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各相关单位对经济开发区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在行政审批过程中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现场踏勘、联合审图、联合验收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加强业务指导，提供相关技术保障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做到“放权不放监管、放权不放指导”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（三）建立信息反馈机制。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园区部门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联动的审批运行机制，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市直部门要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及时转发与行政审批业务相关的政策信息。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经济开发区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要将行政审批过程和结果信息同步推送相关部门，以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利于全市数据统计的准确性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。相关部门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及时将日常监管情况告知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经济开发区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，实现信息共享，确保审批、监管无缝对接。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（一）加强领导。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政府的统一领导下，成立由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长任组长，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委常委、常务副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长为副组长，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行政审批服务局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涉及赋权单位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为责任单位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赋权工作领导小组，抓好改革落实。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（二）紧密配合。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各相关部门要严格按照责任分工，加强沟通衔接，密切配合、主动作为，认真履行好工作职责,推动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行政审批改革工作全面落实。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（三）强化考核。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赋权工作纳入各责任单位年度绩效考核内容，与绩效奖励挂钩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政府督查室要加强督促检查，跟踪问效，及时通报。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本通知自发布之日起实施，有效期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赋权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邵东市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  <w:sectPr>
          <w:footerReference r:id="rId3" w:type="default"/>
          <w:pgSz w:w="11906" w:h="16838"/>
          <w:pgMar w:top="2211" w:right="1474" w:bottom="1928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经济开发区赋权事项目录清单（第一批）</w:t>
      </w:r>
    </w:p>
    <w:tbl>
      <w:tblPr>
        <w:tblStyle w:val="9"/>
        <w:tblW w:w="14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265"/>
        <w:gridCol w:w="2828"/>
        <w:gridCol w:w="1536"/>
        <w:gridCol w:w="1577"/>
        <w:gridCol w:w="1109"/>
        <w:gridCol w:w="2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赋权事项名称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事项编码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原实施单位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赋权方式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一、土地供应与项目推进类（26项）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000115012000（主项：建设项目选址意见书核发）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建设用地供地审查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000115057000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建设工程规划类许可证核发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000117011000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临时用地审批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000115003000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出让土地使用权按现状转让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431015042W00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收回国有土地使用权审核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431015043W00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临时使用林地审批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000164116000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市林业局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临时使用5公顷以下的林地审批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施工图预算或招标上限值审查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431013014W00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权限内政府投资项目审批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431004129W00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2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431004110W00（主项：权限内政府投资项目概算审查）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政府投资项目可行性研究报告审批</w:t>
            </w:r>
          </w:p>
        </w:tc>
        <w:tc>
          <w:tcPr>
            <w:tcW w:w="2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政府投资项目初步设计概算审批</w:t>
            </w:r>
          </w:p>
        </w:tc>
        <w:tc>
          <w:tcPr>
            <w:tcW w:w="2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432004404W00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政府投资项目代建单位招标文件、代建合同备案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432004403W00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政府投资项目初步设计审批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430117080W00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仅限房屋建筑和市政基础设施工程项目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000117052000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000117006000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建设工程消防验收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000117051000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施工图审查情况备案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001017007000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直接赋权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最高投标限价（招标控制价）及其成果文件备案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431017369W00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市住建局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施工、监理等招标文件告知性备案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431017357W00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建设工程招标投标情况书面报告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431017281W00（主项：中标通知书备案）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建筑工程（含房屋建筑工程、市政基础设施工程、燃气设施工程和城镇排水与污水处理设施工程等）竣工验收备案（含档案验收）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001017006000（主项：房屋建筑和市政基础设施工程竣工验收备案）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建设工程竣工结算备案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431017367W00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建设工程竣工验收消防备案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000717008000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工程质量以及施工现场进行检查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430617042W0Y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二、招商引资与招才引智类（1项）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公租房承租资格确认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000717009000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5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三、园区管理与服务类（3项）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000117020000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城市道路照明拆迁审批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431017194W00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公租房租金收缴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001017009000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委托行使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1417" w:bottom="1134" w:left="141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firstLine="1083" w:firstLineChars="0"/>
        <w:jc w:val="both"/>
        <w:textAlignment w:val="auto"/>
        <w:rPr>
          <w:rStyle w:val="13"/>
          <w:rFonts w:hint="eastAsia"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</w:pPr>
    </w:p>
    <w:tbl>
      <w:tblPr>
        <w:tblStyle w:val="10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 w:firstLine="313" w:firstLineChars="112"/>
              <w:jc w:val="both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抄送：市委各部门，市人武部。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 w:firstLine="1153" w:firstLineChars="412"/>
              <w:jc w:val="both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市人大常委会办公室，市政协办公室，市人民法院，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 w:firstLine="1153" w:firstLineChars="412"/>
              <w:jc w:val="both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市人民检察院。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 w:firstLine="313" w:firstLineChars="112"/>
              <w:jc w:val="both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邵东市人民政府办公室                  2023年8月31日印发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2211" w:right="1474" w:bottom="1928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ZWY0NThmOGU5ODQyYzY4NmI2YWZlZjk5ZWU3NzEifQ=="/>
  </w:docVars>
  <w:rsids>
    <w:rsidRoot w:val="08E9173A"/>
    <w:rsid w:val="00107881"/>
    <w:rsid w:val="04483B23"/>
    <w:rsid w:val="04F16630"/>
    <w:rsid w:val="063A50C4"/>
    <w:rsid w:val="067B13DE"/>
    <w:rsid w:val="08E9173A"/>
    <w:rsid w:val="0AFC04BA"/>
    <w:rsid w:val="12370103"/>
    <w:rsid w:val="1745432A"/>
    <w:rsid w:val="1A620741"/>
    <w:rsid w:val="22485EB0"/>
    <w:rsid w:val="2419493F"/>
    <w:rsid w:val="24DB5BE2"/>
    <w:rsid w:val="2C0F3427"/>
    <w:rsid w:val="2FD5344F"/>
    <w:rsid w:val="3546706B"/>
    <w:rsid w:val="44F223F6"/>
    <w:rsid w:val="45696D21"/>
    <w:rsid w:val="51AA6D10"/>
    <w:rsid w:val="51EB4DF2"/>
    <w:rsid w:val="55E70493"/>
    <w:rsid w:val="5B395C74"/>
    <w:rsid w:val="5CBB6ED9"/>
    <w:rsid w:val="5F286777"/>
    <w:rsid w:val="61316235"/>
    <w:rsid w:val="63D20EE7"/>
    <w:rsid w:val="6BD8741F"/>
    <w:rsid w:val="6E704887"/>
    <w:rsid w:val="713766A0"/>
    <w:rsid w:val="7448309C"/>
    <w:rsid w:val="760D2B5B"/>
    <w:rsid w:val="7DB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styleId="5">
    <w:name w:val="Body Text"/>
    <w:basedOn w:val="1"/>
    <w:qFormat/>
    <w:uiPriority w:val="0"/>
    <w:pPr>
      <w:spacing w:line="560" w:lineRule="exact"/>
    </w:pPr>
    <w:rPr>
      <w:rFonts w:hint="eastAsia" w:ascii="宋体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3097</Words>
  <Characters>3455</Characters>
  <Lines>0</Lines>
  <Paragraphs>0</Paragraphs>
  <TotalTime>8</TotalTime>
  <ScaleCrop>false</ScaleCrop>
  <LinksUpToDate>false</LinksUpToDate>
  <CharactersWithSpaces>3501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2023-05-11T06:26:00Z</dcterms:created>
  <dc:creator>Administrator</dc:creator>
  <cp:lastModifiedBy>Administrator</cp:lastModifiedBy>
  <cp:lastPrinted>2023-09-04T07:53:00Z</cp:lastPrinted>
  <dcterms:modified xsi:type="dcterms:W3CDTF">2023-09-05T00:37:41Z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F467D6B226E9418B8478814F109BC17D</vt:lpwstr>
  </property>
</Properties>
</file>