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42"/>
          <w:szCs w:val="42"/>
          <w:lang w:val="en-US" w:eastAsia="zh-CN" w:bidi="ar"/>
        </w:rPr>
        <w:t>关于一次性吸纳就业补贴情况公示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 w:firstLine="61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湖南省人民政府办公厅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关于贯彻促发展惠民生要求落实优化调整稳就业政策若干措施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的通知》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(湘政办发﹝2023﹞32号)文件规定，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经审核，我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bookmarkStart w:id="1" w:name="_GoBack"/>
      <w:bookmarkEnd w:id="1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家企业新招用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名应届高校毕业生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（见附件）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,符合一次性吸纳就业补贴条件，补贴金额共计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000元。现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予以公示，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公示期7天。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如有异议，可在公示期内向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邵东市人社局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反映。联系电话：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0739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2668670。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邵东市人力资源和社会保障局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2023年12月1日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lang w:eastAsia="zh-CN"/>
        </w:rPr>
        <w:t>邵东市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  <w:t>一次性吸纳就业补贴人员情况表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lang w:eastAsia="zh-CN"/>
        </w:rPr>
        <w:t>（第二批）</w:t>
      </w:r>
    </w:p>
    <w:tbl>
      <w:tblPr>
        <w:tblStyle w:val="5"/>
        <w:tblW w:w="9123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50"/>
        <w:gridCol w:w="660"/>
        <w:gridCol w:w="2250"/>
        <w:gridCol w:w="1590"/>
        <w:gridCol w:w="2025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吸纳单位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3" w:colLast="3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廖文杰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430524200004******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邵东智能制造技术研究院有限公司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430521200202******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湖南衡科住宅工业有限公司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赵家伟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430521200601******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16-24岁失业人员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湖南衡科住宅工业有限公司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周雨泽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430521200004******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16-24岁失业人员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湖南衡科住宅工业有限公司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曾伟林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430521200207******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16-24岁失业人员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湖南衡科住宅工业有限公司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何陶香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430521200111******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王叶青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140602199902******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李江玲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430521200109******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430521199909******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140623199904******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邹玉巧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430521200202******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王梦琪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430503200109******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彭凯旗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430521200102******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谢思佳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430521200207******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邵东宋家塘佰骏医院有限公司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430524200303******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430524200210******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430524200302******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付雨琴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430281200110******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赵增磊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430521200005******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伍文传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430503200204******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张媛媛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430521200103******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唐雅菲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430524200310******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离校两年内未就业高校生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湖南省醇龙箱包股份有限公司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TFkMzlhNmNiNzVlYWYxZGMyMDE3ZWY2NTdjM2IifQ=="/>
  </w:docVars>
  <w:rsids>
    <w:rsidRoot w:val="00000000"/>
    <w:rsid w:val="09BB0D18"/>
    <w:rsid w:val="1112060F"/>
    <w:rsid w:val="140B7F0D"/>
    <w:rsid w:val="1EA74078"/>
    <w:rsid w:val="23735287"/>
    <w:rsid w:val="23F24858"/>
    <w:rsid w:val="2757004A"/>
    <w:rsid w:val="379454DF"/>
    <w:rsid w:val="3EDA6502"/>
    <w:rsid w:val="42595EE5"/>
    <w:rsid w:val="42804F44"/>
    <w:rsid w:val="590B4C11"/>
    <w:rsid w:val="5B2A3460"/>
    <w:rsid w:val="61C21AF4"/>
    <w:rsid w:val="63A65821"/>
    <w:rsid w:val="64607667"/>
    <w:rsid w:val="699112F0"/>
    <w:rsid w:val="6C672A70"/>
    <w:rsid w:val="74FE0F88"/>
    <w:rsid w:val="794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1384</Characters>
  <Lines>0</Lines>
  <Paragraphs>0</Paragraphs>
  <TotalTime>1</TotalTime>
  <ScaleCrop>false</ScaleCrop>
  <LinksUpToDate>false</LinksUpToDate>
  <CharactersWithSpaces>1435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2022-09-15T08:02:00Z</dcterms:created>
  <dc:creator>Administrator</dc:creator>
  <cp:lastModifiedBy>周木</cp:lastModifiedBy>
  <cp:lastPrinted>2023-11-01T00:16:00Z</cp:lastPrinted>
  <dcterms:modified xsi:type="dcterms:W3CDTF">2023-11-30T07:48:20Z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E4BE9A6452364301990919E23E0822B7_12</vt:lpwstr>
  </property>
</Properties>
</file>