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华文中宋" w:cs="Times New Roman"/>
          <w:bCs/>
          <w:w w:val="90"/>
          <w:sz w:val="48"/>
          <w:szCs w:val="48"/>
        </w:rPr>
      </w:pPr>
      <w:bookmarkStart w:id="89" w:name="_GoBack"/>
      <w:bookmarkEnd w:id="89"/>
    </w:p>
    <w:p>
      <w:pPr>
        <w:jc w:val="center"/>
        <w:rPr>
          <w:rFonts w:ascii="Times New Roman" w:hAnsi="Times New Roman" w:eastAsia="华文中宋" w:cs="Times New Roman"/>
          <w:bCs/>
          <w:w w:val="90"/>
          <w:sz w:val="48"/>
          <w:szCs w:val="48"/>
        </w:rPr>
      </w:pPr>
      <w:r>
        <w:rPr>
          <w:rFonts w:hint="eastAsia" w:ascii="Times New Roman" w:hAnsi="Times New Roman" w:eastAsia="华文中宋" w:cs="Times New Roman"/>
          <w:bCs/>
          <w:w w:val="90"/>
          <w:sz w:val="48"/>
          <w:szCs w:val="48"/>
        </w:rPr>
        <w:t>邵东县龙新石材厂</w:t>
      </w:r>
    </w:p>
    <w:p>
      <w:pPr>
        <w:jc w:val="center"/>
        <w:rPr>
          <w:rFonts w:ascii="Times New Roman" w:hAnsi="Times New Roman" w:eastAsia="华文中宋" w:cs="Times New Roman"/>
          <w:bCs/>
          <w:w w:val="90"/>
          <w:sz w:val="48"/>
          <w:szCs w:val="48"/>
        </w:rPr>
      </w:pPr>
      <w:r>
        <w:rPr>
          <w:rFonts w:hint="eastAsia" w:ascii="Times New Roman" w:hAnsi="Times New Roman" w:eastAsia="华文中宋" w:cs="Times New Roman"/>
          <w:bCs/>
          <w:w w:val="90"/>
          <w:sz w:val="48"/>
          <w:szCs w:val="48"/>
        </w:rPr>
        <w:t>石材加工和机制砂生产项目</w:t>
      </w: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
          <w:bCs/>
          <w:spacing w:val="12"/>
          <w:w w:val="90"/>
          <w:sz w:val="72"/>
          <w:szCs w:val="100"/>
        </w:rPr>
      </w:pPr>
      <w:r>
        <w:rPr>
          <w:rFonts w:ascii="Times New Roman" w:hAnsi="Times New Roman" w:eastAsia="华文中宋" w:cs="Times New Roman"/>
          <w:b/>
          <w:bCs/>
          <w:spacing w:val="12"/>
          <w:w w:val="90"/>
          <w:sz w:val="100"/>
          <w:szCs w:val="100"/>
        </w:rPr>
        <w:t>环境影响报告表</w:t>
      </w:r>
    </w:p>
    <w:p>
      <w:pPr>
        <w:jc w:val="center"/>
        <w:rPr>
          <w:rFonts w:ascii="Times New Roman" w:hAnsi="Times New Roman" w:eastAsia="华文中宋" w:cs="Times New Roman"/>
          <w:b/>
          <w:sz w:val="44"/>
        </w:rPr>
      </w:pPr>
      <w:r>
        <w:rPr>
          <w:rFonts w:ascii="Times New Roman" w:hAnsi="Times New Roman" w:eastAsia="华文中宋" w:cs="Times New Roman"/>
          <w:sz w:val="44"/>
        </w:rPr>
        <w:t>（</w:t>
      </w:r>
      <w:r>
        <w:rPr>
          <w:rFonts w:hint="eastAsia" w:ascii="Times New Roman" w:hAnsi="Times New Roman" w:eastAsia="华文中宋" w:cs="Times New Roman"/>
          <w:sz w:val="44"/>
        </w:rPr>
        <w:t>报批稿</w:t>
      </w:r>
      <w:r>
        <w:rPr>
          <w:rFonts w:ascii="Times New Roman" w:hAnsi="Times New Roman" w:eastAsia="华文中宋" w:cs="Times New Roman"/>
          <w:sz w:val="44"/>
        </w:rPr>
        <w:t>）</w:t>
      </w: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jc w:val="center"/>
        <w:rPr>
          <w:rFonts w:ascii="Times New Roman" w:hAnsi="Times New Roman" w:eastAsia="华文中宋" w:cs="Times New Roman"/>
          <w:bCs/>
          <w:w w:val="90"/>
          <w:sz w:val="48"/>
          <w:szCs w:val="48"/>
        </w:rPr>
      </w:pPr>
    </w:p>
    <w:p>
      <w:pPr>
        <w:ind w:firstLine="1701" w:firstLineChars="567"/>
        <w:jc w:val="left"/>
        <w:rPr>
          <w:rFonts w:ascii="Times New Roman" w:hAnsi="Times New Roman" w:eastAsia="华文中宋" w:cs="Times New Roman"/>
          <w:bCs/>
          <w:sz w:val="30"/>
          <w:szCs w:val="30"/>
        </w:rPr>
      </w:pPr>
      <w:r>
        <w:rPr>
          <w:rFonts w:ascii="Times New Roman" w:hAnsi="Times New Roman" w:eastAsia="华文中宋" w:cs="Times New Roman"/>
          <w:bCs/>
          <w:sz w:val="30"/>
          <w:szCs w:val="30"/>
        </w:rPr>
        <w:t>建设单位：</w:t>
      </w:r>
      <w:r>
        <w:rPr>
          <w:rFonts w:hint="eastAsia" w:ascii="Times New Roman" w:hAnsi="Times New Roman" w:eastAsia="华文中宋" w:cs="Times New Roman"/>
          <w:bCs/>
          <w:sz w:val="30"/>
          <w:szCs w:val="30"/>
        </w:rPr>
        <w:t>邵东县龙新石材厂</w:t>
      </w:r>
    </w:p>
    <w:p>
      <w:pPr>
        <w:ind w:firstLine="1701" w:firstLineChars="567"/>
        <w:jc w:val="left"/>
        <w:rPr>
          <w:rFonts w:ascii="Times New Roman" w:hAnsi="Times New Roman" w:eastAsia="华文中宋" w:cs="Times New Roman"/>
          <w:bCs/>
          <w:sz w:val="30"/>
          <w:szCs w:val="30"/>
        </w:rPr>
      </w:pPr>
      <w:r>
        <w:rPr>
          <w:rFonts w:ascii="Times New Roman" w:hAnsi="Times New Roman" w:eastAsia="华文中宋" w:cs="Times New Roman"/>
          <w:bCs/>
          <w:sz w:val="30"/>
          <w:szCs w:val="30"/>
        </w:rPr>
        <w:t>环评单位：四川兴环科环保技术有限公司</w:t>
      </w:r>
    </w:p>
    <w:p>
      <w:pPr>
        <w:ind w:firstLine="1701" w:firstLineChars="567"/>
        <w:jc w:val="left"/>
        <w:rPr>
          <w:rFonts w:ascii="Times New Roman" w:hAnsi="Times New Roman" w:eastAsia="华文中宋" w:cs="Times New Roman"/>
          <w:bCs/>
          <w:sz w:val="30"/>
          <w:szCs w:val="30"/>
        </w:rPr>
      </w:pPr>
    </w:p>
    <w:p>
      <w:pPr>
        <w:spacing w:before="156" w:beforeLines="50"/>
        <w:jc w:val="center"/>
        <w:rPr>
          <w:rFonts w:ascii="Times New Roman" w:hAnsi="Times New Roman" w:eastAsia="华文中宋" w:cs="Times New Roman"/>
          <w:sz w:val="30"/>
          <w:szCs w:val="30"/>
        </w:rPr>
      </w:pPr>
      <w:r>
        <w:rPr>
          <w:rFonts w:ascii="Times New Roman" w:hAnsi="Times New Roman" w:eastAsia="华文中宋" w:cs="Times New Roman"/>
          <w:sz w:val="30"/>
          <w:szCs w:val="30"/>
        </w:rPr>
        <w:t>二O一</w:t>
      </w:r>
      <w:r>
        <w:rPr>
          <w:rFonts w:hint="eastAsia" w:ascii="Times New Roman" w:hAnsi="Times New Roman" w:eastAsia="华文中宋" w:cs="Times New Roman"/>
          <w:sz w:val="30"/>
          <w:szCs w:val="30"/>
        </w:rPr>
        <w:t>九</w:t>
      </w:r>
      <w:r>
        <w:rPr>
          <w:rFonts w:ascii="Times New Roman" w:hAnsi="Times New Roman" w:eastAsia="华文中宋" w:cs="Times New Roman"/>
          <w:sz w:val="30"/>
          <w:szCs w:val="30"/>
        </w:rPr>
        <w:t>年</w:t>
      </w:r>
      <w:r>
        <w:rPr>
          <w:rFonts w:hint="eastAsia" w:ascii="Times New Roman" w:hAnsi="Times New Roman" w:eastAsia="华文中宋" w:cs="Times New Roman"/>
          <w:sz w:val="30"/>
          <w:szCs w:val="30"/>
        </w:rPr>
        <w:t>五</w:t>
      </w:r>
      <w:r>
        <w:rPr>
          <w:rFonts w:ascii="Times New Roman" w:hAnsi="Times New Roman" w:eastAsia="华文中宋" w:cs="Times New Roman"/>
          <w:sz w:val="30"/>
          <w:szCs w:val="30"/>
        </w:rPr>
        <w:t>月</w:t>
      </w:r>
    </w:p>
    <w:p>
      <w:pPr>
        <w:ind w:firstLine="480"/>
        <w:rPr>
          <w:rFonts w:ascii="Times New Roman" w:hAnsi="Times New Roman" w:cs="Times New Roman"/>
        </w:rPr>
      </w:pPr>
    </w:p>
    <w:p>
      <w:pPr>
        <w:ind w:left="1800"/>
        <w:jc w:val="left"/>
        <w:rPr>
          <w:rFonts w:ascii="Times New Roman" w:hAnsi="Times New Roman" w:cs="Times New Roman"/>
          <w:sz w:val="20"/>
          <w:szCs w:val="20"/>
        </w:rPr>
        <w:sectPr>
          <w:headerReference r:id="rId3" w:type="first"/>
          <w:pgSz w:w="11906" w:h="16838"/>
          <w:pgMar w:top="1440" w:right="1418" w:bottom="1440" w:left="1418" w:header="851" w:footer="992" w:gutter="0"/>
          <w:pgNumType w:start="1"/>
          <w:cols w:space="720" w:num="1"/>
          <w:docGrid w:type="lines" w:linePitch="312" w:charSpace="0"/>
        </w:sectPr>
      </w:pPr>
    </w:p>
    <w:p>
      <w:pPr>
        <w:ind w:left="1800"/>
        <w:jc w:val="left"/>
        <w:rPr>
          <w:rFonts w:ascii="Times New Roman" w:hAnsi="Times New Roman" w:cs="Times New Roman"/>
          <w:sz w:val="20"/>
          <w:szCs w:val="20"/>
        </w:rPr>
      </w:pPr>
    </w:p>
    <w:p>
      <w:pPr>
        <w:jc w:val="center"/>
        <w:rPr>
          <w:rFonts w:ascii="Times New Roman" w:hAnsi="Times New Roman" w:cs="Times New Roman"/>
          <w:sz w:val="24"/>
        </w:rPr>
      </w:pPr>
      <w:r>
        <w:rPr>
          <w:rFonts w:ascii="Times New Roman" w:hAnsi="Times New Roman" w:cs="Times New Roman"/>
          <w:b/>
          <w:sz w:val="32"/>
        </w:rPr>
        <w:t>《建设项目环境影响报告表》编制说明</w:t>
      </w:r>
    </w:p>
    <w:p>
      <w:pPr>
        <w:spacing w:line="200" w:lineRule="exact"/>
        <w:jc w:val="left"/>
        <w:rPr>
          <w:rFonts w:ascii="Times New Roman" w:hAnsi="Times New Roman" w:cs="Times New Roman"/>
          <w:sz w:val="24"/>
        </w:rPr>
      </w:pPr>
    </w:p>
    <w:p>
      <w:pPr>
        <w:spacing w:line="200" w:lineRule="exact"/>
        <w:jc w:val="left"/>
        <w:rPr>
          <w:rFonts w:ascii="Times New Roman" w:hAnsi="Times New Roman" w:cs="Times New Roman"/>
          <w:sz w:val="24"/>
        </w:rPr>
      </w:pPr>
    </w:p>
    <w:p>
      <w:pPr>
        <w:spacing w:line="200" w:lineRule="exact"/>
        <w:jc w:val="left"/>
        <w:rPr>
          <w:rFonts w:ascii="Times New Roman" w:hAnsi="Times New Roman" w:cs="Times New Roman"/>
          <w:sz w:val="24"/>
        </w:rPr>
      </w:pPr>
    </w:p>
    <w:p>
      <w:pPr>
        <w:spacing w:line="263" w:lineRule="exact"/>
        <w:jc w:val="left"/>
        <w:rPr>
          <w:rFonts w:ascii="Times New Roman" w:hAnsi="Times New Roman" w:cs="Times New Roman"/>
          <w:sz w:val="24"/>
        </w:rPr>
      </w:pPr>
    </w:p>
    <w:p>
      <w:pPr>
        <w:spacing w:line="360" w:lineRule="auto"/>
        <w:jc w:val="left"/>
        <w:rPr>
          <w:rFonts w:ascii="Times New Roman" w:hAnsi="Times New Roman" w:cs="Times New Roman"/>
          <w:sz w:val="24"/>
        </w:rPr>
      </w:pPr>
      <w:r>
        <w:rPr>
          <w:rFonts w:ascii="Times New Roman" w:hAnsi="Times New Roman" w:cs="Times New Roman"/>
          <w:sz w:val="24"/>
        </w:rPr>
        <w:t xml:space="preserve">    《建设项目环境影响报告表》由具有从事环境影响评价工作资质的单位编制。</w:t>
      </w:r>
    </w:p>
    <w:p>
      <w:pPr>
        <w:numPr>
          <w:ilvl w:val="0"/>
          <w:numId w:val="2"/>
        </w:numPr>
        <w:tabs>
          <w:tab w:val="left" w:pos="842"/>
          <w:tab w:val="clear" w:pos="720"/>
        </w:tabs>
        <w:overflowPunct w:val="0"/>
        <w:spacing w:line="360" w:lineRule="auto"/>
        <w:ind w:left="0" w:right="40" w:firstLine="481"/>
        <w:rPr>
          <w:rFonts w:ascii="Times New Roman" w:hAnsi="Times New Roman" w:eastAsia="Times New Roman" w:cs="Times New Roman"/>
          <w:sz w:val="24"/>
        </w:rPr>
      </w:pPr>
      <w:r>
        <w:rPr>
          <w:rFonts w:ascii="Times New Roman" w:hAnsi="Times New Roman" w:cs="Times New Roman"/>
          <w:sz w:val="24"/>
        </w:rPr>
        <w:t>项目名称</w:t>
      </w:r>
      <w:r>
        <w:rPr>
          <w:rFonts w:ascii="Times New Roman" w:hAnsi="Times New Roman" w:eastAsia="Times New Roman" w:cs="Times New Roman"/>
          <w:sz w:val="24"/>
        </w:rPr>
        <w:t>──</w:t>
      </w:r>
      <w:r>
        <w:rPr>
          <w:rFonts w:ascii="Times New Roman" w:hAnsi="Times New Roman" w:cs="Times New Roman"/>
          <w:sz w:val="24"/>
        </w:rPr>
        <w:t>指项目立项批复时的名称，应不超过</w:t>
      </w:r>
      <w:r>
        <w:rPr>
          <w:rFonts w:ascii="Times New Roman" w:hAnsi="Times New Roman" w:eastAsia="Times New Roman" w:cs="Times New Roman"/>
          <w:sz w:val="24"/>
        </w:rPr>
        <w:t>30</w:t>
      </w:r>
      <w:r>
        <w:rPr>
          <w:rFonts w:ascii="Times New Roman" w:hAnsi="Times New Roman" w:cs="Times New Roman"/>
          <w:sz w:val="24"/>
        </w:rPr>
        <w:t>个字（两个英文字段作一个汉字）。</w:t>
      </w:r>
    </w:p>
    <w:p>
      <w:pPr>
        <w:numPr>
          <w:ilvl w:val="0"/>
          <w:numId w:val="2"/>
        </w:numPr>
        <w:tabs>
          <w:tab w:val="left" w:pos="840"/>
          <w:tab w:val="clear" w:pos="720"/>
        </w:tabs>
        <w:overflowPunct w:val="0"/>
        <w:spacing w:line="360" w:lineRule="auto"/>
        <w:ind w:left="840" w:hanging="359"/>
        <w:rPr>
          <w:rFonts w:ascii="Times New Roman" w:hAnsi="Times New Roman" w:eastAsia="Times New Roman" w:cs="Times New Roman"/>
          <w:sz w:val="24"/>
        </w:rPr>
      </w:pPr>
      <w:r>
        <w:rPr>
          <w:rFonts w:ascii="Times New Roman" w:hAnsi="Times New Roman" w:cs="Times New Roman"/>
          <w:sz w:val="24"/>
        </w:rPr>
        <w:t>建设地点</w:t>
      </w:r>
      <w:r>
        <w:rPr>
          <w:rFonts w:ascii="Times New Roman" w:hAnsi="Times New Roman" w:eastAsia="Times New Roman" w:cs="Times New Roman"/>
          <w:sz w:val="24"/>
        </w:rPr>
        <w:t>──</w:t>
      </w:r>
      <w:r>
        <w:rPr>
          <w:rFonts w:ascii="Times New Roman" w:hAnsi="Times New Roman" w:cs="Times New Roman"/>
          <w:sz w:val="24"/>
        </w:rPr>
        <w:t>指项目所在地详细地址，公路、铁路应填写起止地点。</w:t>
      </w:r>
    </w:p>
    <w:p>
      <w:pPr>
        <w:numPr>
          <w:ilvl w:val="0"/>
          <w:numId w:val="2"/>
        </w:numPr>
        <w:tabs>
          <w:tab w:val="left" w:pos="840"/>
          <w:tab w:val="clear" w:pos="720"/>
        </w:tabs>
        <w:overflowPunct w:val="0"/>
        <w:spacing w:line="360" w:lineRule="auto"/>
        <w:ind w:left="840" w:hanging="359"/>
        <w:rPr>
          <w:rFonts w:ascii="Times New Roman" w:hAnsi="Times New Roman" w:eastAsia="Times New Roman" w:cs="Times New Roman"/>
          <w:sz w:val="24"/>
        </w:rPr>
      </w:pPr>
      <w:r>
        <w:rPr>
          <w:rFonts w:ascii="Times New Roman" w:hAnsi="Times New Roman" w:cs="Times New Roman"/>
          <w:sz w:val="24"/>
        </w:rPr>
        <w:t>行业类别</w:t>
      </w:r>
      <w:r>
        <w:rPr>
          <w:rFonts w:ascii="Times New Roman" w:hAnsi="Times New Roman" w:eastAsia="Times New Roman" w:cs="Times New Roman"/>
          <w:sz w:val="24"/>
        </w:rPr>
        <w:t>──</w:t>
      </w:r>
      <w:r>
        <w:rPr>
          <w:rFonts w:ascii="Times New Roman" w:hAnsi="Times New Roman" w:cs="Times New Roman"/>
          <w:sz w:val="24"/>
        </w:rPr>
        <w:t>按国标填写。</w:t>
      </w:r>
    </w:p>
    <w:p>
      <w:pPr>
        <w:numPr>
          <w:ilvl w:val="0"/>
          <w:numId w:val="2"/>
        </w:numPr>
        <w:tabs>
          <w:tab w:val="left" w:pos="840"/>
          <w:tab w:val="clear" w:pos="720"/>
        </w:tabs>
        <w:overflowPunct w:val="0"/>
        <w:spacing w:line="360" w:lineRule="auto"/>
        <w:ind w:left="840" w:hanging="359"/>
        <w:rPr>
          <w:rFonts w:ascii="Times New Roman" w:hAnsi="Times New Roman" w:eastAsia="Times New Roman" w:cs="Times New Roman"/>
          <w:sz w:val="24"/>
        </w:rPr>
      </w:pPr>
      <w:r>
        <w:rPr>
          <w:rFonts w:ascii="Times New Roman" w:hAnsi="Times New Roman" w:cs="Times New Roman"/>
          <w:sz w:val="24"/>
        </w:rPr>
        <w:t>总投资</w:t>
      </w:r>
      <w:r>
        <w:rPr>
          <w:rFonts w:ascii="Times New Roman" w:hAnsi="Times New Roman" w:eastAsia="Times New Roman" w:cs="Times New Roman"/>
          <w:sz w:val="24"/>
        </w:rPr>
        <w:t>──</w:t>
      </w:r>
      <w:r>
        <w:rPr>
          <w:rFonts w:ascii="Times New Roman" w:hAnsi="Times New Roman" w:cs="Times New Roman"/>
          <w:sz w:val="24"/>
        </w:rPr>
        <w:t>指项目投资总额。</w:t>
      </w:r>
    </w:p>
    <w:p>
      <w:pPr>
        <w:numPr>
          <w:ilvl w:val="0"/>
          <w:numId w:val="2"/>
        </w:numPr>
        <w:tabs>
          <w:tab w:val="left" w:pos="842"/>
          <w:tab w:val="clear" w:pos="720"/>
        </w:tabs>
        <w:overflowPunct w:val="0"/>
        <w:spacing w:line="360" w:lineRule="auto"/>
        <w:ind w:left="0" w:firstLine="481"/>
        <w:rPr>
          <w:rFonts w:ascii="Times New Roman" w:hAnsi="Times New Roman" w:eastAsia="Times New Roman" w:cs="Times New Roman"/>
          <w:sz w:val="24"/>
        </w:rPr>
      </w:pPr>
      <w:r>
        <w:rPr>
          <w:rFonts w:ascii="Times New Roman" w:hAnsi="Times New Roman" w:cs="Times New Roman"/>
          <w:sz w:val="24"/>
        </w:rPr>
        <w:t>主要环境保护目标</w:t>
      </w:r>
      <w:r>
        <w:rPr>
          <w:rFonts w:ascii="Times New Roman" w:hAnsi="Times New Roman" w:eastAsia="Times New Roman" w:cs="Times New Roman"/>
          <w:sz w:val="24"/>
        </w:rPr>
        <w:t>──</w:t>
      </w:r>
      <w:r>
        <w:rPr>
          <w:rFonts w:ascii="Times New Roman" w:hAnsi="Times New Roman" w:cs="Times New Roman"/>
          <w:sz w:val="24"/>
        </w:rPr>
        <w:t>指项目区周围一定范围内集中居民住宅区、学校、医院、保护文物、风景名胜区、水源地和生态敏感点等，应尽可能给出保护目标、性质、规模和距场界距离等。</w:t>
      </w:r>
    </w:p>
    <w:p>
      <w:pPr>
        <w:numPr>
          <w:ilvl w:val="0"/>
          <w:numId w:val="2"/>
        </w:numPr>
        <w:tabs>
          <w:tab w:val="left" w:pos="842"/>
          <w:tab w:val="clear" w:pos="720"/>
        </w:tabs>
        <w:overflowPunct w:val="0"/>
        <w:spacing w:line="360" w:lineRule="auto"/>
        <w:ind w:left="0" w:right="40" w:firstLine="481"/>
        <w:rPr>
          <w:rFonts w:ascii="Times New Roman" w:hAnsi="Times New Roman" w:eastAsia="Times New Roman" w:cs="Times New Roman"/>
          <w:sz w:val="24"/>
        </w:rPr>
      </w:pPr>
      <w:r>
        <w:rPr>
          <w:rFonts w:ascii="Times New Roman" w:hAnsi="Times New Roman" w:cs="Times New Roman"/>
          <w:sz w:val="24"/>
        </w:rPr>
        <w:t>结论与建议</w:t>
      </w:r>
      <w:r>
        <w:rPr>
          <w:rFonts w:ascii="Times New Roman" w:hAnsi="Times New Roman" w:eastAsia="Times New Roman" w:cs="Times New Roman"/>
          <w:sz w:val="24"/>
        </w:rPr>
        <w:t>──</w:t>
      </w:r>
      <w:r>
        <w:rPr>
          <w:rFonts w:ascii="Times New Roman" w:hAnsi="Times New Roman" w:cs="Times New Roman"/>
          <w:sz w:val="24"/>
        </w:rPr>
        <w:t>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2"/>
        </w:numPr>
        <w:tabs>
          <w:tab w:val="left" w:pos="840"/>
          <w:tab w:val="clear" w:pos="720"/>
        </w:tabs>
        <w:overflowPunct w:val="0"/>
        <w:spacing w:line="360" w:lineRule="auto"/>
        <w:ind w:left="840" w:hanging="359"/>
        <w:rPr>
          <w:rFonts w:ascii="Times New Roman" w:hAnsi="Times New Roman" w:eastAsia="Times New Roman" w:cs="Times New Roman"/>
          <w:sz w:val="24"/>
        </w:rPr>
      </w:pPr>
      <w:r>
        <w:rPr>
          <w:rFonts w:ascii="Times New Roman" w:hAnsi="Times New Roman" w:cs="Times New Roman"/>
          <w:sz w:val="24"/>
        </w:rPr>
        <w:t>预审意见</w:t>
      </w:r>
      <w:r>
        <w:rPr>
          <w:rFonts w:ascii="Times New Roman" w:hAnsi="Times New Roman" w:eastAsia="Times New Roman" w:cs="Times New Roman"/>
          <w:sz w:val="24"/>
        </w:rPr>
        <w:t>──</w:t>
      </w:r>
      <w:r>
        <w:rPr>
          <w:rFonts w:ascii="Times New Roman" w:hAnsi="Times New Roman" w:cs="Times New Roman"/>
          <w:sz w:val="24"/>
        </w:rPr>
        <w:t>由行业主管部门填写答复意见，无主管部门项目，可不填。</w:t>
      </w:r>
    </w:p>
    <w:p>
      <w:pPr>
        <w:numPr>
          <w:ilvl w:val="0"/>
          <w:numId w:val="2"/>
        </w:numPr>
        <w:tabs>
          <w:tab w:val="left" w:pos="840"/>
          <w:tab w:val="clear" w:pos="720"/>
        </w:tabs>
        <w:overflowPunct w:val="0"/>
        <w:spacing w:line="360" w:lineRule="auto"/>
        <w:ind w:left="840" w:hanging="359"/>
        <w:rPr>
          <w:rFonts w:ascii="Times New Roman" w:hAnsi="Times New Roman" w:eastAsia="Times New Roman" w:cs="Times New Roman"/>
          <w:sz w:val="24"/>
        </w:rPr>
      </w:pPr>
      <w:r>
        <w:rPr>
          <w:rFonts w:ascii="Times New Roman" w:hAnsi="Times New Roman" w:cs="Times New Roman"/>
          <w:sz w:val="24"/>
        </w:rPr>
        <w:t>审批意见</w:t>
      </w:r>
      <w:r>
        <w:rPr>
          <w:rFonts w:ascii="Times New Roman" w:hAnsi="Times New Roman" w:eastAsia="Times New Roman" w:cs="Times New Roman"/>
          <w:sz w:val="24"/>
        </w:rPr>
        <w:t>──</w:t>
      </w:r>
      <w:r>
        <w:rPr>
          <w:rFonts w:ascii="Times New Roman" w:hAnsi="Times New Roman" w:cs="Times New Roman"/>
          <w:sz w:val="24"/>
        </w:rPr>
        <w:t>由负责审批该项目的环境保护行政主管部门批复。</w:t>
      </w:r>
    </w:p>
    <w:p>
      <w:pPr>
        <w:tabs>
          <w:tab w:val="left" w:pos="720"/>
          <w:tab w:val="left" w:pos="840"/>
        </w:tabs>
        <w:overflowPunct w:val="0"/>
        <w:spacing w:line="360" w:lineRule="auto"/>
        <w:ind w:left="481"/>
        <w:rPr>
          <w:rFonts w:ascii="Times New Roman" w:hAnsi="Times New Roman" w:cs="Times New Roman"/>
          <w:sz w:val="24"/>
        </w:rPr>
        <w:sectPr>
          <w:headerReference r:id="rId4" w:type="default"/>
          <w:pgSz w:w="11906" w:h="16838"/>
          <w:pgMar w:top="1440" w:right="1418" w:bottom="1440" w:left="1418" w:header="851" w:footer="992" w:gutter="0"/>
          <w:pgNumType w:start="1"/>
          <w:cols w:space="720" w:num="1"/>
          <w:docGrid w:type="lines" w:linePitch="312" w:charSpace="0"/>
        </w:sectPr>
      </w:pPr>
    </w:p>
    <w:p>
      <w:pPr>
        <w:spacing w:line="320" w:lineRule="exact"/>
        <w:rPr>
          <w:rFonts w:ascii="Times New Roman" w:hAnsi="Times New Roman" w:eastAsia="黑体" w:cs="Times New Roman"/>
          <w:sz w:val="30"/>
        </w:rPr>
      </w:pPr>
    </w:p>
    <w:p>
      <w:pPr>
        <w:spacing w:line="320" w:lineRule="exact"/>
        <w:jc w:val="center"/>
        <w:rPr>
          <w:rFonts w:ascii="Times New Roman" w:hAnsi="Times New Roman" w:eastAsia="黑体" w:cs="Times New Roman"/>
          <w:sz w:val="30"/>
        </w:rPr>
      </w:pPr>
      <w:r>
        <w:rPr>
          <w:rFonts w:ascii="Times New Roman" w:hAnsi="Times New Roman" w:eastAsia="黑体" w:cs="Times New Roman"/>
          <w:sz w:val="30"/>
        </w:rPr>
        <w:t>目</w:t>
      </w:r>
      <w:r>
        <w:rPr>
          <w:rFonts w:hint="eastAsia" w:ascii="Times New Roman" w:hAnsi="Times New Roman" w:eastAsia="黑体" w:cs="Times New Roman"/>
          <w:sz w:val="30"/>
        </w:rPr>
        <w:t xml:space="preserve">  </w:t>
      </w:r>
      <w:r>
        <w:rPr>
          <w:rFonts w:ascii="Times New Roman" w:hAnsi="Times New Roman" w:eastAsia="黑体" w:cs="Times New Roman"/>
          <w:sz w:val="30"/>
        </w:rPr>
        <w:t>录</w:t>
      </w:r>
    </w:p>
    <w:p>
      <w:pPr>
        <w:spacing w:line="320" w:lineRule="exact"/>
        <w:jc w:val="center"/>
        <w:rPr>
          <w:rFonts w:ascii="Times New Roman" w:hAnsi="Times New Roman" w:eastAsia="黑体" w:cs="Times New Roman"/>
          <w:sz w:val="30"/>
        </w:rPr>
      </w:pPr>
    </w:p>
    <w:p>
      <w:pPr>
        <w:pStyle w:val="17"/>
        <w:tabs>
          <w:tab w:val="right" w:leader="dot" w:pos="9060"/>
        </w:tabs>
        <w:spacing w:line="480" w:lineRule="auto"/>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TOC \o "1-3" \h \u </w:instrText>
      </w:r>
      <w:r>
        <w:rPr>
          <w:rFonts w:ascii="Times New Roman" w:hAnsi="Times New Roman" w:cs="Times New Roman"/>
          <w:sz w:val="24"/>
        </w:rPr>
        <w:fldChar w:fldCharType="separate"/>
      </w:r>
      <w:r>
        <w:fldChar w:fldCharType="begin"/>
      </w:r>
      <w:r>
        <w:instrText xml:space="preserve"> HYPERLINK \l "_Toc7464055" </w:instrText>
      </w:r>
      <w:r>
        <w:fldChar w:fldCharType="separate"/>
      </w:r>
      <w:r>
        <w:rPr>
          <w:rStyle w:val="29"/>
          <w:rFonts w:ascii="Times New Roman" w:hAnsi="Times New Roman" w:cs="Times New Roman"/>
          <w:color w:val="auto"/>
          <w:sz w:val="24"/>
        </w:rPr>
        <w:t>一、建设项目基本情况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_Toc7464055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"_Toc7464056" </w:instrText>
      </w:r>
      <w:r>
        <w:fldChar w:fldCharType="separate"/>
      </w:r>
      <w:r>
        <w:rPr>
          <w:rStyle w:val="29"/>
          <w:rFonts w:ascii="Times New Roman" w:hAnsi="Times New Roman" w:cs="Times New Roman"/>
          <w:color w:val="auto"/>
          <w:sz w:val="24"/>
        </w:rPr>
        <w:t>二、建设项目所在地自然环境简况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_Toc7464056 \h </w:instrText>
      </w:r>
      <w:r>
        <w:rPr>
          <w:rFonts w:ascii="Times New Roman" w:hAnsi="Times New Roman" w:cs="Times New Roman"/>
          <w:sz w:val="24"/>
        </w:rPr>
        <w:fldChar w:fldCharType="separate"/>
      </w:r>
      <w:r>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"_Toc7464057" </w:instrText>
      </w:r>
      <w:r>
        <w:fldChar w:fldCharType="separate"/>
      </w:r>
      <w:r>
        <w:rPr>
          <w:rStyle w:val="29"/>
          <w:rFonts w:ascii="Times New Roman" w:hAnsi="Times New Roman" w:cs="Times New Roman"/>
          <w:color w:val="auto"/>
          <w:sz w:val="24"/>
        </w:rPr>
        <w:t>三、环境质量状况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_Toc7464057 \h </w:instrText>
      </w:r>
      <w:r>
        <w:rPr>
          <w:rFonts w:ascii="Times New Roman" w:hAnsi="Times New Roman" w:cs="Times New Roman"/>
          <w:sz w:val="24"/>
        </w:rPr>
        <w:fldChar w:fldCharType="separate"/>
      </w:r>
      <w:r>
        <w:rPr>
          <w:rFonts w:ascii="Times New Roman" w:hAnsi="Times New Roman" w:cs="Times New Roman"/>
          <w:sz w:val="24"/>
        </w:rPr>
        <w:t>13</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"_Toc7464058" </w:instrText>
      </w:r>
      <w:r>
        <w:fldChar w:fldCharType="separate"/>
      </w:r>
      <w:r>
        <w:rPr>
          <w:rStyle w:val="29"/>
          <w:rFonts w:ascii="Times New Roman" w:hAnsi="Times New Roman" w:cs="Times New Roman"/>
          <w:color w:val="auto"/>
          <w:sz w:val="24"/>
        </w:rPr>
        <w:t>四、评价适用标准</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_Toc7464058 \h </w:instrText>
      </w:r>
      <w:r>
        <w:rPr>
          <w:rFonts w:ascii="Times New Roman" w:hAnsi="Times New Roman" w:cs="Times New Roman"/>
          <w:sz w:val="24"/>
        </w:rPr>
        <w:fldChar w:fldCharType="separate"/>
      </w:r>
      <w:r>
        <w:rPr>
          <w:rFonts w:ascii="Times New Roman" w:hAnsi="Times New Roman" w:cs="Times New Roman"/>
          <w:sz w:val="24"/>
        </w:rPr>
        <w:t>17</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"_Toc7464059" </w:instrText>
      </w:r>
      <w:r>
        <w:fldChar w:fldCharType="separate"/>
      </w:r>
      <w:r>
        <w:rPr>
          <w:rStyle w:val="29"/>
          <w:rFonts w:ascii="Times New Roman" w:hAnsi="Times New Roman" w:cs="Times New Roman"/>
          <w:color w:val="auto"/>
          <w:sz w:val="24"/>
        </w:rPr>
        <w:t>五、建设项目工程分析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_Toc7464059 \h </w:instrText>
      </w:r>
      <w:r>
        <w:rPr>
          <w:rFonts w:ascii="Times New Roman" w:hAnsi="Times New Roman" w:cs="Times New Roman"/>
          <w:sz w:val="24"/>
        </w:rPr>
        <w:fldChar w:fldCharType="separate"/>
      </w:r>
      <w:r>
        <w:rPr>
          <w:rFonts w:ascii="Times New Roman" w:hAnsi="Times New Roman" w:cs="Times New Roman"/>
          <w:sz w:val="24"/>
        </w:rPr>
        <w:t>19</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"_Toc7464060" </w:instrText>
      </w:r>
      <w:r>
        <w:fldChar w:fldCharType="separate"/>
      </w:r>
      <w:r>
        <w:rPr>
          <w:rStyle w:val="29"/>
          <w:rFonts w:ascii="Times New Roman" w:hAnsi="Times New Roman" w:cs="Times New Roman"/>
          <w:color w:val="auto"/>
          <w:sz w:val="24"/>
        </w:rPr>
        <w:t>六、项目主要污染物产生及预计排放情况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_Toc7464060 \h </w:instrText>
      </w:r>
      <w:r>
        <w:rPr>
          <w:rFonts w:ascii="Times New Roman" w:hAnsi="Times New Roman" w:cs="Times New Roman"/>
          <w:sz w:val="24"/>
        </w:rPr>
        <w:fldChar w:fldCharType="separate"/>
      </w:r>
      <w:r>
        <w:rPr>
          <w:rFonts w:ascii="Times New Roman" w:hAnsi="Times New Roman" w:cs="Times New Roman"/>
          <w:sz w:val="24"/>
        </w:rPr>
        <w:t>38</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"_Toc7464061" </w:instrText>
      </w:r>
      <w:r>
        <w:fldChar w:fldCharType="separate"/>
      </w:r>
      <w:r>
        <w:rPr>
          <w:rStyle w:val="29"/>
          <w:rFonts w:ascii="Times New Roman" w:hAnsi="Times New Roman" w:cs="Times New Roman"/>
          <w:color w:val="auto"/>
          <w:sz w:val="24"/>
        </w:rPr>
        <w:t>七、环境影响分析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_Toc7464061 \h </w:instrText>
      </w:r>
      <w:r>
        <w:rPr>
          <w:rFonts w:ascii="Times New Roman" w:hAnsi="Times New Roman" w:cs="Times New Roman"/>
          <w:sz w:val="24"/>
        </w:rPr>
        <w:fldChar w:fldCharType="separate"/>
      </w:r>
      <w:r>
        <w:rPr>
          <w:rFonts w:ascii="Times New Roman" w:hAnsi="Times New Roman" w:cs="Times New Roman"/>
          <w:sz w:val="24"/>
        </w:rPr>
        <w:t>39</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"_Toc7464062" </w:instrText>
      </w:r>
      <w:r>
        <w:fldChar w:fldCharType="separate"/>
      </w:r>
      <w:r>
        <w:rPr>
          <w:rStyle w:val="29"/>
          <w:rFonts w:ascii="Times New Roman" w:hAnsi="Times New Roman" w:cs="Times New Roman"/>
          <w:color w:val="auto"/>
          <w:sz w:val="24"/>
        </w:rPr>
        <w:t>八、建设项目拟采取的防治措施、投资及预期治理效果</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_Toc7464062 \h </w:instrText>
      </w:r>
      <w:r>
        <w:rPr>
          <w:rFonts w:ascii="Times New Roman" w:hAnsi="Times New Roman" w:cs="Times New Roman"/>
          <w:sz w:val="24"/>
        </w:rPr>
        <w:fldChar w:fldCharType="separate"/>
      </w:r>
      <w:r>
        <w:rPr>
          <w:rFonts w:ascii="Times New Roman" w:hAnsi="Times New Roman" w:cs="Times New Roman"/>
          <w:sz w:val="24"/>
        </w:rPr>
        <w:t>78</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"_Toc7464063" </w:instrText>
      </w:r>
      <w:r>
        <w:fldChar w:fldCharType="separate"/>
      </w:r>
      <w:r>
        <w:rPr>
          <w:rStyle w:val="29"/>
          <w:rFonts w:ascii="Times New Roman" w:hAnsi="Times New Roman" w:cs="Times New Roman"/>
          <w:color w:val="auto"/>
          <w:sz w:val="24"/>
        </w:rPr>
        <w:t>九、结论与建议</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_Toc7464063 \h </w:instrText>
      </w:r>
      <w:r>
        <w:rPr>
          <w:rFonts w:ascii="Times New Roman" w:hAnsi="Times New Roman" w:cs="Times New Roman"/>
          <w:sz w:val="24"/>
        </w:rPr>
        <w:fldChar w:fldCharType="separate"/>
      </w:r>
      <w:r>
        <w:rPr>
          <w:rFonts w:ascii="Times New Roman" w:hAnsi="Times New Roman" w:cs="Times New Roman"/>
          <w:sz w:val="24"/>
        </w:rPr>
        <w:t>79</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"_Toc7464064" </w:instrText>
      </w:r>
      <w:r>
        <w:fldChar w:fldCharType="separate"/>
      </w:r>
      <w:r>
        <w:rPr>
          <w:rStyle w:val="29"/>
          <w:rFonts w:ascii="Times New Roman" w:hAnsi="Times New Roman" w:cs="Times New Roman"/>
          <w:color w:val="auto"/>
          <w:sz w:val="24"/>
        </w:rPr>
        <w:t>附件：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_Toc7464064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"_Toc7464065" </w:instrText>
      </w:r>
      <w:r>
        <w:fldChar w:fldCharType="separate"/>
      </w:r>
      <w:r>
        <w:rPr>
          <w:rStyle w:val="29"/>
          <w:rFonts w:ascii="Times New Roman" w:hAnsi="Times New Roman" w:cs="Times New Roman"/>
          <w:color w:val="auto"/>
          <w:sz w:val="24"/>
        </w:rPr>
        <w:t>附图：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_Toc7464065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pStyle w:val="17"/>
        <w:tabs>
          <w:tab w:val="right" w:leader="dot" w:pos="9060"/>
        </w:tabs>
        <w:spacing w:line="480" w:lineRule="auto"/>
        <w:rPr>
          <w:rFonts w:ascii="Times New Roman" w:hAnsi="Times New Roman" w:cs="Times New Roman"/>
          <w:sz w:val="24"/>
        </w:rPr>
      </w:pPr>
      <w:r>
        <w:fldChar w:fldCharType="begin"/>
      </w:r>
      <w:r>
        <w:instrText xml:space="preserve"> HYPERLINK \l "_Toc7464066" </w:instrText>
      </w:r>
      <w:r>
        <w:fldChar w:fldCharType="separate"/>
      </w:r>
      <w:r>
        <w:rPr>
          <w:rStyle w:val="29"/>
          <w:rFonts w:ascii="Times New Roman" w:hAnsi="Times New Roman" w:cs="Times New Roman"/>
          <w:color w:val="auto"/>
          <w:sz w:val="24"/>
        </w:rPr>
        <w:t>附表：</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_Toc7464066 \h </w:instrText>
      </w:r>
      <w:r>
        <w:rPr>
          <w:rFonts w:ascii="Times New Roman" w:hAnsi="Times New Roman" w:cs="Times New Roman"/>
          <w:sz w:val="24"/>
        </w:rPr>
        <w:fldChar w:fldCharType="separate"/>
      </w:r>
      <w:r>
        <w:rPr>
          <w:rFonts w:ascii="Times New Roman" w:hAnsi="Times New Roman" w:cs="Times New Roman"/>
          <w:sz w:val="24"/>
        </w:rPr>
        <w:t>84</w:t>
      </w:r>
      <w:r>
        <w:rPr>
          <w:rFonts w:ascii="Times New Roman" w:hAnsi="Times New Roman" w:cs="Times New Roman"/>
          <w:sz w:val="24"/>
        </w:rPr>
        <w:fldChar w:fldCharType="end"/>
      </w:r>
      <w:r>
        <w:rPr>
          <w:rFonts w:ascii="Times New Roman" w:hAnsi="Times New Roman" w:cs="Times New Roman"/>
          <w:sz w:val="24"/>
        </w:rPr>
        <w:fldChar w:fldCharType="end"/>
      </w:r>
    </w:p>
    <w:p>
      <w:pPr>
        <w:spacing w:line="480" w:lineRule="auto"/>
        <w:jc w:val="left"/>
        <w:rPr>
          <w:rFonts w:ascii="Times New Roman" w:hAnsi="Times New Roman" w:cs="Times New Roman"/>
          <w:sz w:val="24"/>
        </w:rPr>
      </w:pPr>
      <w:r>
        <w:rPr>
          <w:rFonts w:ascii="Times New Roman" w:hAnsi="Times New Roman" w:cs="Times New Roman"/>
          <w:sz w:val="24"/>
        </w:rPr>
        <w:fldChar w:fldCharType="end"/>
      </w:r>
    </w:p>
    <w:p>
      <w:pPr>
        <w:spacing w:line="480" w:lineRule="auto"/>
        <w:jc w:val="left"/>
        <w:rPr>
          <w:rFonts w:ascii="Times New Roman" w:hAnsi="Times New Roman" w:cs="Times New Roman"/>
          <w:sz w:val="24"/>
        </w:rPr>
      </w:pPr>
    </w:p>
    <w:p>
      <w:pPr>
        <w:spacing w:line="480" w:lineRule="auto"/>
        <w:jc w:val="left"/>
        <w:rPr>
          <w:rFonts w:ascii="Times New Roman" w:hAnsi="Times New Roman" w:cs="Times New Roman"/>
          <w:sz w:val="24"/>
        </w:rPr>
        <w:sectPr>
          <w:pgSz w:w="11906" w:h="16838"/>
          <w:pgMar w:top="1440" w:right="1418" w:bottom="1440" w:left="1418" w:header="851" w:footer="992" w:gutter="0"/>
          <w:pgNumType w:start="1"/>
          <w:cols w:space="720" w:num="1"/>
          <w:docGrid w:type="lines" w:linePitch="312" w:charSpace="0"/>
        </w:sectPr>
      </w:pPr>
    </w:p>
    <w:p>
      <w:pPr>
        <w:spacing w:line="480" w:lineRule="auto"/>
        <w:jc w:val="left"/>
        <w:rPr>
          <w:rFonts w:ascii="Times New Roman" w:hAnsi="Times New Roman" w:cs="Times New Roman"/>
          <w:sz w:val="24"/>
        </w:rPr>
      </w:pPr>
    </w:p>
    <w:p>
      <w:pPr>
        <w:spacing w:line="480" w:lineRule="auto"/>
        <w:jc w:val="left"/>
        <w:rPr>
          <w:rFonts w:ascii="Times New Roman" w:hAnsi="Times New Roman" w:eastAsia="黑体" w:cs="Times New Roman"/>
          <w:sz w:val="30"/>
        </w:rPr>
      </w:pPr>
    </w:p>
    <w:p>
      <w:pPr>
        <w:spacing w:line="320" w:lineRule="exact"/>
        <w:jc w:val="center"/>
        <w:rPr>
          <w:rFonts w:ascii="Times New Roman" w:hAnsi="Times New Roman" w:eastAsia="黑体" w:cs="Times New Roman"/>
          <w:sz w:val="30"/>
        </w:rPr>
      </w:pPr>
    </w:p>
    <w:p>
      <w:pPr>
        <w:spacing w:line="320" w:lineRule="exact"/>
        <w:rPr>
          <w:rFonts w:ascii="Times New Roman" w:hAnsi="Times New Roman" w:eastAsia="黑体" w:cs="Times New Roman"/>
          <w:sz w:val="30"/>
        </w:rPr>
        <w:sectPr>
          <w:headerReference r:id="rId5" w:type="default"/>
          <w:pgSz w:w="11906" w:h="16838"/>
          <w:pgMar w:top="1440" w:right="1418" w:bottom="1440" w:left="1418" w:header="851" w:footer="992" w:gutter="0"/>
          <w:pgNumType w:start="1"/>
          <w:cols w:space="720" w:num="1"/>
          <w:docGrid w:type="lines" w:linePitch="312" w:charSpace="0"/>
        </w:sectPr>
      </w:pPr>
    </w:p>
    <w:p>
      <w:pPr>
        <w:pStyle w:val="2"/>
      </w:pPr>
      <w:bookmarkStart w:id="0" w:name="_Toc7464055"/>
      <w:bookmarkStart w:id="1" w:name="_Toc22952"/>
      <w:bookmarkStart w:id="2" w:name="_Toc18386"/>
      <w:r>
        <w:t>一、建设项目基本情况</w:t>
      </w:r>
      <w:bookmarkEnd w:id="0"/>
      <w:bookmarkEnd w:id="1"/>
      <w:bookmarkEnd w:id="2"/>
    </w:p>
    <w:tbl>
      <w:tblPr>
        <w:tblStyle w:val="25"/>
        <w:tblW w:w="9246" w:type="dxa"/>
        <w:tblInd w:w="0" w:type="dxa"/>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152"/>
        <w:gridCol w:w="434"/>
        <w:gridCol w:w="1003"/>
        <w:gridCol w:w="1259"/>
        <w:gridCol w:w="1257"/>
        <w:gridCol w:w="1415"/>
      </w:tblGrid>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项目名称</w:t>
            </w:r>
          </w:p>
        </w:tc>
        <w:tc>
          <w:tcPr>
            <w:tcW w:w="7520" w:type="dxa"/>
            <w:gridSpan w:val="6"/>
            <w:vAlign w:val="center"/>
          </w:tcPr>
          <w:p>
            <w:pPr>
              <w:autoSpaceDE w:val="0"/>
              <w:autoSpaceDN w:val="0"/>
              <w:adjustRightInd w:val="0"/>
              <w:jc w:val="center"/>
              <w:rPr>
                <w:rFonts w:ascii="Times New Roman" w:hAnsi="Times New Roman" w:cs="Times New Roman"/>
                <w:bCs/>
                <w:sz w:val="24"/>
              </w:rPr>
            </w:pPr>
            <w:r>
              <w:rPr>
                <w:rFonts w:hint="eastAsia" w:ascii="Times New Roman" w:hAnsi="Times New Roman" w:eastAsia="宋体" w:cs="Times New Roman"/>
                <w:bCs/>
                <w:kern w:val="0"/>
                <w:sz w:val="24"/>
              </w:rPr>
              <w:t>邵东县龙新石材厂石材加工和机制砂生产项目</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建设单位</w:t>
            </w:r>
          </w:p>
        </w:tc>
        <w:tc>
          <w:tcPr>
            <w:tcW w:w="7520" w:type="dxa"/>
            <w:gridSpan w:val="6"/>
            <w:vAlign w:val="center"/>
          </w:tcPr>
          <w:p>
            <w:pPr>
              <w:jc w:val="center"/>
              <w:rPr>
                <w:rFonts w:ascii="Times New Roman" w:hAnsi="Times New Roman" w:cs="Times New Roman"/>
                <w:bCs/>
                <w:sz w:val="24"/>
              </w:rPr>
            </w:pPr>
            <w:r>
              <w:rPr>
                <w:rFonts w:hint="eastAsia" w:ascii="Times New Roman" w:hAnsi="Times New Roman" w:eastAsia="宋体" w:cs="Times New Roman"/>
                <w:bCs/>
                <w:kern w:val="0"/>
                <w:sz w:val="24"/>
              </w:rPr>
              <w:t>邵东县龙新石材厂</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法人代表</w:t>
            </w:r>
          </w:p>
        </w:tc>
        <w:tc>
          <w:tcPr>
            <w:tcW w:w="3589" w:type="dxa"/>
            <w:gridSpan w:val="3"/>
            <w:vAlign w:val="center"/>
          </w:tcPr>
          <w:p>
            <w:pPr>
              <w:ind w:firstLine="1080" w:firstLineChars="450"/>
              <w:rPr>
                <w:rFonts w:ascii="Times New Roman" w:hAnsi="Times New Roman" w:cs="Times New Roman"/>
                <w:bCs/>
                <w:sz w:val="24"/>
              </w:rPr>
            </w:pPr>
            <w:r>
              <w:rPr>
                <w:rFonts w:hint="eastAsia" w:ascii="Times New Roman" w:hAnsi="Times New Roman" w:cs="Times New Roman"/>
                <w:bCs/>
                <w:sz w:val="24"/>
              </w:rPr>
              <w:t>李海军</w:t>
            </w:r>
          </w:p>
        </w:tc>
        <w:tc>
          <w:tcPr>
            <w:tcW w:w="1259" w:type="dxa"/>
            <w:vAlign w:val="center"/>
          </w:tcPr>
          <w:p>
            <w:pPr>
              <w:jc w:val="center"/>
              <w:rPr>
                <w:rFonts w:ascii="Times New Roman" w:hAnsi="Times New Roman" w:cs="Times New Roman"/>
                <w:bCs/>
                <w:sz w:val="24"/>
              </w:rPr>
            </w:pPr>
            <w:r>
              <w:rPr>
                <w:rFonts w:ascii="Times New Roman" w:hAnsi="Times New Roman" w:cs="Times New Roman"/>
                <w:bCs/>
                <w:sz w:val="24"/>
              </w:rPr>
              <w:t>联系人</w:t>
            </w:r>
          </w:p>
        </w:tc>
        <w:tc>
          <w:tcPr>
            <w:tcW w:w="2672" w:type="dxa"/>
            <w:gridSpan w:val="2"/>
            <w:vAlign w:val="center"/>
          </w:tcPr>
          <w:p>
            <w:pPr>
              <w:jc w:val="center"/>
              <w:rPr>
                <w:rFonts w:ascii="Times New Roman" w:hAnsi="Times New Roman" w:cs="Times New Roman"/>
                <w:bCs/>
                <w:sz w:val="24"/>
              </w:rPr>
            </w:pPr>
            <w:r>
              <w:rPr>
                <w:rFonts w:hint="eastAsia" w:ascii="Times New Roman" w:hAnsi="Times New Roman" w:cs="Times New Roman"/>
                <w:bCs/>
                <w:sz w:val="24"/>
              </w:rPr>
              <w:t>李海军</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通讯地址</w:t>
            </w:r>
          </w:p>
        </w:tc>
        <w:tc>
          <w:tcPr>
            <w:tcW w:w="7520" w:type="dxa"/>
            <w:gridSpan w:val="6"/>
            <w:vAlign w:val="center"/>
          </w:tcPr>
          <w:p>
            <w:pPr>
              <w:jc w:val="center"/>
              <w:rPr>
                <w:rFonts w:ascii="Times New Roman" w:hAnsi="Times New Roman" w:cs="Times New Roman"/>
                <w:bCs/>
                <w:sz w:val="24"/>
              </w:rPr>
            </w:pPr>
            <w:r>
              <w:rPr>
                <w:rFonts w:hint="eastAsia" w:ascii="Times New Roman" w:hAnsi="Times New Roman" w:cs="Times New Roman"/>
                <w:bCs/>
                <w:sz w:val="24"/>
              </w:rPr>
              <w:t>邵东县火厂坪镇龙新村李家屋组</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联系电话</w:t>
            </w:r>
          </w:p>
        </w:tc>
        <w:tc>
          <w:tcPr>
            <w:tcW w:w="2586" w:type="dxa"/>
            <w:gridSpan w:val="2"/>
            <w:vAlign w:val="center"/>
          </w:tcPr>
          <w:p>
            <w:pPr>
              <w:jc w:val="center"/>
              <w:rPr>
                <w:rFonts w:ascii="Times New Roman" w:hAnsi="Times New Roman" w:cs="Times New Roman"/>
                <w:bCs/>
                <w:sz w:val="24"/>
              </w:rPr>
            </w:pPr>
            <w:r>
              <w:rPr>
                <w:rFonts w:hint="eastAsia" w:ascii="Times New Roman" w:hAnsi="Times New Roman" w:cs="Times New Roman"/>
                <w:bCs/>
                <w:sz w:val="24"/>
              </w:rPr>
              <w:t>13973992055</w:t>
            </w:r>
          </w:p>
        </w:tc>
        <w:tc>
          <w:tcPr>
            <w:tcW w:w="1003" w:type="dxa"/>
            <w:vAlign w:val="center"/>
          </w:tcPr>
          <w:p>
            <w:pPr>
              <w:jc w:val="center"/>
              <w:rPr>
                <w:rFonts w:ascii="Times New Roman" w:hAnsi="Times New Roman" w:cs="Times New Roman"/>
                <w:bCs/>
                <w:sz w:val="24"/>
              </w:rPr>
            </w:pPr>
            <w:r>
              <w:rPr>
                <w:rFonts w:ascii="Times New Roman" w:hAnsi="Times New Roman" w:cs="Times New Roman"/>
                <w:bCs/>
                <w:sz w:val="24"/>
              </w:rPr>
              <w:t>传真</w:t>
            </w:r>
          </w:p>
        </w:tc>
        <w:tc>
          <w:tcPr>
            <w:tcW w:w="1259" w:type="dxa"/>
            <w:vAlign w:val="center"/>
          </w:tcPr>
          <w:p>
            <w:pPr>
              <w:jc w:val="center"/>
              <w:rPr>
                <w:rFonts w:ascii="Times New Roman" w:hAnsi="Times New Roman" w:cs="Times New Roman"/>
                <w:bCs/>
                <w:sz w:val="24"/>
              </w:rPr>
            </w:pPr>
            <w:r>
              <w:rPr>
                <w:rFonts w:hint="eastAsia" w:ascii="Times New Roman" w:hAnsi="Times New Roman" w:cs="Times New Roman"/>
                <w:bCs/>
                <w:sz w:val="24"/>
              </w:rPr>
              <w:t>/</w:t>
            </w:r>
          </w:p>
        </w:tc>
        <w:tc>
          <w:tcPr>
            <w:tcW w:w="1257" w:type="dxa"/>
            <w:vAlign w:val="center"/>
          </w:tcPr>
          <w:p>
            <w:pPr>
              <w:jc w:val="center"/>
              <w:rPr>
                <w:rFonts w:ascii="Times New Roman" w:hAnsi="Times New Roman" w:cs="Times New Roman"/>
                <w:bCs/>
                <w:sz w:val="24"/>
              </w:rPr>
            </w:pPr>
            <w:r>
              <w:rPr>
                <w:rFonts w:ascii="Times New Roman" w:hAnsi="Times New Roman" w:cs="Times New Roman"/>
                <w:bCs/>
                <w:sz w:val="24"/>
              </w:rPr>
              <w:t>邮政编码</w:t>
            </w:r>
          </w:p>
        </w:tc>
        <w:tc>
          <w:tcPr>
            <w:tcW w:w="1415" w:type="dxa"/>
            <w:vAlign w:val="center"/>
          </w:tcPr>
          <w:p>
            <w:pPr>
              <w:jc w:val="center"/>
              <w:rPr>
                <w:rFonts w:ascii="Times New Roman" w:hAnsi="Times New Roman" w:cs="Times New Roman"/>
                <w:bCs/>
                <w:sz w:val="24"/>
              </w:rPr>
            </w:pPr>
            <w:r>
              <w:rPr>
                <w:rFonts w:ascii="Times New Roman" w:hAnsi="Times New Roman" w:cs="Times New Roman"/>
                <w:bCs/>
                <w:sz w:val="24"/>
              </w:rPr>
              <w:t>422819</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建设地点</w:t>
            </w:r>
          </w:p>
        </w:tc>
        <w:tc>
          <w:tcPr>
            <w:tcW w:w="7520" w:type="dxa"/>
            <w:gridSpan w:val="6"/>
            <w:vAlign w:val="center"/>
          </w:tcPr>
          <w:p>
            <w:pPr>
              <w:jc w:val="center"/>
              <w:rPr>
                <w:rFonts w:ascii="Times New Roman" w:hAnsi="Times New Roman" w:cs="Times New Roman"/>
                <w:bCs/>
                <w:sz w:val="24"/>
              </w:rPr>
            </w:pPr>
            <w:r>
              <w:rPr>
                <w:rFonts w:hint="eastAsia" w:ascii="Times New Roman" w:hAnsi="Times New Roman" w:cs="Times New Roman"/>
                <w:bCs/>
                <w:sz w:val="24"/>
              </w:rPr>
              <w:t>邵东县火厂坪镇龙新村李家屋组</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立项审批部门</w:t>
            </w:r>
          </w:p>
        </w:tc>
        <w:tc>
          <w:tcPr>
            <w:tcW w:w="3589" w:type="dxa"/>
            <w:gridSpan w:val="3"/>
            <w:vAlign w:val="center"/>
          </w:tcPr>
          <w:p>
            <w:pPr>
              <w:jc w:val="center"/>
              <w:rPr>
                <w:rFonts w:ascii="Times New Roman" w:hAnsi="Times New Roman" w:cs="Times New Roman"/>
                <w:bCs/>
                <w:sz w:val="24"/>
              </w:rPr>
            </w:pPr>
            <w:r>
              <w:rPr>
                <w:rFonts w:hint="eastAsia" w:ascii="Times New Roman" w:hAnsi="Times New Roman" w:cs="Times New Roman"/>
                <w:bCs/>
                <w:sz w:val="24"/>
              </w:rPr>
              <w:t>/</w:t>
            </w:r>
          </w:p>
        </w:tc>
        <w:tc>
          <w:tcPr>
            <w:tcW w:w="1259" w:type="dxa"/>
            <w:tcBorders>
              <w:bottom w:val="single" w:color="auto" w:sz="4" w:space="0"/>
            </w:tcBorders>
            <w:vAlign w:val="center"/>
          </w:tcPr>
          <w:p>
            <w:pPr>
              <w:jc w:val="center"/>
              <w:rPr>
                <w:rFonts w:ascii="Times New Roman" w:hAnsi="Times New Roman" w:cs="Times New Roman"/>
                <w:bCs/>
                <w:sz w:val="24"/>
              </w:rPr>
            </w:pPr>
            <w:r>
              <w:rPr>
                <w:rFonts w:ascii="Times New Roman" w:hAnsi="Times New Roman" w:cs="Times New Roman"/>
                <w:bCs/>
                <w:sz w:val="24"/>
              </w:rPr>
              <w:t>批准文号</w:t>
            </w:r>
          </w:p>
        </w:tc>
        <w:tc>
          <w:tcPr>
            <w:tcW w:w="2672" w:type="dxa"/>
            <w:gridSpan w:val="2"/>
            <w:vAlign w:val="center"/>
          </w:tcPr>
          <w:p>
            <w:pPr>
              <w:jc w:val="center"/>
              <w:rPr>
                <w:rFonts w:ascii="Times New Roman" w:hAnsi="Times New Roman" w:cs="Times New Roman"/>
                <w:bCs/>
                <w:sz w:val="24"/>
              </w:rPr>
            </w:pPr>
            <w:r>
              <w:rPr>
                <w:rFonts w:hint="eastAsia" w:ascii="Times New Roman" w:hAnsi="Times New Roman" w:cs="Times New Roman"/>
                <w:bCs/>
                <w:sz w:val="24"/>
              </w:rPr>
              <w:t>/</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shd w:val="clear" w:color="auto" w:fill="auto"/>
            <w:vAlign w:val="center"/>
          </w:tcPr>
          <w:p>
            <w:pPr>
              <w:jc w:val="center"/>
              <w:rPr>
                <w:rFonts w:ascii="Times New Roman" w:hAnsi="Times New Roman" w:cs="Times New Roman"/>
                <w:bCs/>
                <w:sz w:val="24"/>
              </w:rPr>
            </w:pPr>
            <w:r>
              <w:rPr>
                <w:rFonts w:ascii="Times New Roman" w:hAnsi="Times New Roman" w:cs="Times New Roman"/>
                <w:bCs/>
                <w:sz w:val="24"/>
              </w:rPr>
              <w:t>建设性质</w:t>
            </w:r>
          </w:p>
        </w:tc>
        <w:tc>
          <w:tcPr>
            <w:tcW w:w="3589" w:type="dxa"/>
            <w:gridSpan w:val="3"/>
            <w:shd w:val="clear" w:color="auto" w:fill="auto"/>
            <w:vAlign w:val="center"/>
          </w:tcPr>
          <w:p>
            <w:pPr>
              <w:jc w:val="center"/>
              <w:rPr>
                <w:rFonts w:ascii="Times New Roman" w:hAnsi="Times New Roman" w:cs="Times New Roman"/>
                <w:bCs/>
                <w:sz w:val="24"/>
              </w:rPr>
            </w:pPr>
            <w:r>
              <w:rPr>
                <w:rFonts w:ascii="Times New Roman" w:hAnsi="Times New Roman" w:cs="Times New Roman"/>
                <w:bCs/>
                <w:sz w:val="24"/>
              </w:rPr>
              <w:t>新建</w:t>
            </w:r>
          </w:p>
        </w:tc>
        <w:tc>
          <w:tcPr>
            <w:tcW w:w="1259" w:type="dxa"/>
            <w:tcBorders>
              <w:top w:val="single" w:color="auto" w:sz="4" w:space="0"/>
              <w:bottom w:val="single" w:color="auto" w:sz="4" w:space="0"/>
            </w:tcBorders>
            <w:shd w:val="clear" w:color="auto" w:fill="FFFFFF"/>
            <w:vAlign w:val="center"/>
          </w:tcPr>
          <w:p>
            <w:pPr>
              <w:jc w:val="center"/>
              <w:rPr>
                <w:rFonts w:ascii="Times New Roman" w:hAnsi="Times New Roman" w:cs="Times New Roman"/>
                <w:bCs/>
                <w:sz w:val="24"/>
              </w:rPr>
            </w:pPr>
            <w:r>
              <w:rPr>
                <w:rFonts w:ascii="Times New Roman" w:hAnsi="Times New Roman" w:cs="Times New Roman"/>
                <w:bCs/>
                <w:sz w:val="24"/>
              </w:rPr>
              <w:t>行业类别及代码</w:t>
            </w:r>
          </w:p>
        </w:tc>
        <w:tc>
          <w:tcPr>
            <w:tcW w:w="2672" w:type="dxa"/>
            <w:gridSpan w:val="2"/>
            <w:vAlign w:val="center"/>
          </w:tcPr>
          <w:p>
            <w:pPr>
              <w:jc w:val="center"/>
              <w:rPr>
                <w:rFonts w:ascii="Times New Roman" w:hAnsi="Times New Roman" w:cs="Times New Roman"/>
                <w:bCs/>
                <w:spacing w:val="-8"/>
                <w:sz w:val="24"/>
              </w:rPr>
            </w:pPr>
            <w:r>
              <w:rPr>
                <w:rFonts w:hint="eastAsia" w:ascii="Times New Roman" w:hAnsi="Times New Roman" w:cs="Times New Roman"/>
                <w:bCs/>
                <w:spacing w:val="-8"/>
                <w:sz w:val="24"/>
              </w:rPr>
              <w:t>C3032建筑用石加工</w:t>
            </w:r>
          </w:p>
          <w:p>
            <w:pPr>
              <w:jc w:val="center"/>
              <w:rPr>
                <w:rFonts w:ascii="Times New Roman" w:hAnsi="Times New Roman" w:cs="Times New Roman"/>
                <w:bCs/>
                <w:spacing w:val="-8"/>
                <w:sz w:val="24"/>
              </w:rPr>
            </w:pPr>
            <w:r>
              <w:rPr>
                <w:rFonts w:hint="eastAsia" w:ascii="Times New Roman" w:hAnsi="Times New Roman" w:cs="Times New Roman"/>
                <w:bCs/>
                <w:spacing w:val="-8"/>
                <w:sz w:val="24"/>
              </w:rPr>
              <w:t>C4220非金属废料和碎屑加工处理</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占地面积</w:t>
            </w:r>
          </w:p>
          <w:p>
            <w:pPr>
              <w:jc w:val="center"/>
              <w:rPr>
                <w:rFonts w:ascii="Times New Roman" w:hAnsi="Times New Roman" w:cs="Times New Roman"/>
                <w:bCs/>
                <w:sz w:val="24"/>
              </w:rPr>
            </w:pPr>
            <w:r>
              <w:rPr>
                <w:rFonts w:ascii="Times New Roman" w:hAnsi="Times New Roman" w:cs="Times New Roman"/>
                <w:bCs/>
                <w:sz w:val="24"/>
              </w:rPr>
              <w:t>（平方米）</w:t>
            </w:r>
          </w:p>
        </w:tc>
        <w:tc>
          <w:tcPr>
            <w:tcW w:w="3589" w:type="dxa"/>
            <w:gridSpan w:val="3"/>
            <w:vAlign w:val="center"/>
          </w:tcPr>
          <w:p>
            <w:pPr>
              <w:jc w:val="center"/>
              <w:rPr>
                <w:rFonts w:ascii="Times New Roman" w:hAnsi="Times New Roman" w:cs="Times New Roman"/>
                <w:bCs/>
              </w:rPr>
            </w:pPr>
            <w:r>
              <w:rPr>
                <w:rFonts w:hint="eastAsia" w:ascii="Times New Roman" w:hAnsi="Times New Roman" w:cs="Times New Roman"/>
                <w:bCs/>
              </w:rPr>
              <w:t>6400</w:t>
            </w:r>
          </w:p>
        </w:tc>
        <w:tc>
          <w:tcPr>
            <w:tcW w:w="1259" w:type="dxa"/>
            <w:tcBorders>
              <w:top w:val="single" w:color="auto" w:sz="4" w:space="0"/>
            </w:tcBorders>
            <w:vAlign w:val="center"/>
          </w:tcPr>
          <w:p>
            <w:pPr>
              <w:ind w:left="-105" w:leftChars="-50" w:right="-105" w:rightChars="-50"/>
              <w:jc w:val="center"/>
              <w:rPr>
                <w:rFonts w:ascii="Times New Roman" w:hAnsi="Times New Roman" w:cs="Times New Roman"/>
                <w:bCs/>
                <w:sz w:val="24"/>
              </w:rPr>
            </w:pPr>
            <w:r>
              <w:rPr>
                <w:rFonts w:ascii="Times New Roman" w:hAnsi="Times New Roman" w:cs="Times New Roman"/>
                <w:bCs/>
                <w:sz w:val="24"/>
              </w:rPr>
              <w:t>绿化面积</w:t>
            </w:r>
          </w:p>
          <w:p>
            <w:pPr>
              <w:ind w:left="-105" w:leftChars="-50" w:right="-105" w:rightChars="-50"/>
              <w:jc w:val="center"/>
              <w:rPr>
                <w:rFonts w:ascii="Times New Roman" w:hAnsi="Times New Roman" w:cs="Times New Roman"/>
                <w:bCs/>
                <w:sz w:val="24"/>
              </w:rPr>
            </w:pPr>
            <w:r>
              <w:rPr>
                <w:rFonts w:ascii="Times New Roman" w:hAnsi="Times New Roman" w:cs="Times New Roman"/>
                <w:bCs/>
                <w:sz w:val="24"/>
              </w:rPr>
              <w:t>（平方米）</w:t>
            </w:r>
          </w:p>
        </w:tc>
        <w:tc>
          <w:tcPr>
            <w:tcW w:w="2672" w:type="dxa"/>
            <w:gridSpan w:val="2"/>
            <w:vAlign w:val="center"/>
          </w:tcPr>
          <w:p>
            <w:pPr>
              <w:jc w:val="center"/>
              <w:rPr>
                <w:rFonts w:ascii="Times New Roman" w:hAnsi="Times New Roman" w:cs="Times New Roman"/>
                <w:bCs/>
                <w:sz w:val="24"/>
              </w:rPr>
            </w:pPr>
            <w:r>
              <w:rPr>
                <w:rFonts w:hint="eastAsia" w:ascii="Times New Roman" w:hAnsi="Times New Roman" w:cs="Times New Roman"/>
                <w:bCs/>
                <w:szCs w:val="21"/>
              </w:rPr>
              <w:t>/</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总投资</w:t>
            </w:r>
          </w:p>
          <w:p>
            <w:pPr>
              <w:jc w:val="center"/>
              <w:rPr>
                <w:rFonts w:ascii="Times New Roman" w:hAnsi="Times New Roman" w:cs="Times New Roman"/>
                <w:bCs/>
                <w:sz w:val="24"/>
              </w:rPr>
            </w:pPr>
            <w:r>
              <w:rPr>
                <w:rFonts w:ascii="Times New Roman" w:hAnsi="Times New Roman" w:cs="Times New Roman"/>
                <w:bCs/>
                <w:sz w:val="24"/>
              </w:rPr>
              <w:t>（万元）</w:t>
            </w:r>
          </w:p>
        </w:tc>
        <w:tc>
          <w:tcPr>
            <w:tcW w:w="2152" w:type="dxa"/>
            <w:vAlign w:val="center"/>
          </w:tcPr>
          <w:p>
            <w:pPr>
              <w:jc w:val="center"/>
              <w:rPr>
                <w:rFonts w:ascii="Times New Roman" w:hAnsi="Times New Roman" w:cs="Times New Roman"/>
                <w:bCs/>
                <w:sz w:val="24"/>
              </w:rPr>
            </w:pPr>
            <w:r>
              <w:rPr>
                <w:rFonts w:hint="eastAsia" w:ascii="Times New Roman" w:hAnsi="Times New Roman" w:cs="Times New Roman"/>
                <w:bCs/>
                <w:sz w:val="24"/>
              </w:rPr>
              <w:t>1000</w:t>
            </w:r>
          </w:p>
        </w:tc>
        <w:tc>
          <w:tcPr>
            <w:tcW w:w="1437" w:type="dxa"/>
            <w:gridSpan w:val="2"/>
            <w:vAlign w:val="center"/>
          </w:tcPr>
          <w:p>
            <w:pPr>
              <w:jc w:val="center"/>
              <w:rPr>
                <w:rFonts w:ascii="Times New Roman" w:hAnsi="Times New Roman" w:cs="Times New Roman"/>
                <w:bCs/>
                <w:sz w:val="24"/>
              </w:rPr>
            </w:pPr>
            <w:r>
              <w:rPr>
                <w:rFonts w:ascii="Times New Roman" w:hAnsi="Times New Roman" w:cs="Times New Roman"/>
                <w:bCs/>
                <w:sz w:val="24"/>
              </w:rPr>
              <w:t>其中：环保</w:t>
            </w:r>
          </w:p>
          <w:p>
            <w:pPr>
              <w:jc w:val="center"/>
              <w:rPr>
                <w:rFonts w:ascii="Times New Roman" w:hAnsi="Times New Roman" w:cs="Times New Roman"/>
                <w:bCs/>
                <w:sz w:val="24"/>
              </w:rPr>
            </w:pPr>
            <w:r>
              <w:rPr>
                <w:rFonts w:ascii="Times New Roman" w:hAnsi="Times New Roman" w:cs="Times New Roman"/>
                <w:bCs/>
                <w:sz w:val="24"/>
              </w:rPr>
              <w:t>投资（万元）</w:t>
            </w:r>
          </w:p>
        </w:tc>
        <w:tc>
          <w:tcPr>
            <w:tcW w:w="1259" w:type="dxa"/>
            <w:vAlign w:val="center"/>
          </w:tcPr>
          <w:p>
            <w:pPr>
              <w:jc w:val="center"/>
              <w:rPr>
                <w:rFonts w:ascii="Times New Roman" w:hAnsi="Times New Roman" w:cs="Times New Roman"/>
                <w:bCs/>
                <w:sz w:val="24"/>
              </w:rPr>
            </w:pPr>
            <w:r>
              <w:rPr>
                <w:rFonts w:hint="eastAsia" w:ascii="Times New Roman" w:hAnsi="Times New Roman" w:cs="Times New Roman"/>
                <w:bCs/>
                <w:sz w:val="24"/>
              </w:rPr>
              <w:t>97</w:t>
            </w:r>
          </w:p>
        </w:tc>
        <w:tc>
          <w:tcPr>
            <w:tcW w:w="1257" w:type="dxa"/>
            <w:vAlign w:val="center"/>
          </w:tcPr>
          <w:p>
            <w:pPr>
              <w:jc w:val="center"/>
              <w:rPr>
                <w:rFonts w:ascii="Times New Roman" w:hAnsi="Times New Roman" w:cs="Times New Roman"/>
                <w:bCs/>
                <w:sz w:val="24"/>
              </w:rPr>
            </w:pPr>
            <w:r>
              <w:rPr>
                <w:rFonts w:ascii="Times New Roman" w:hAnsi="Times New Roman" w:cs="Times New Roman"/>
                <w:bCs/>
                <w:sz w:val="24"/>
              </w:rPr>
              <w:t>环保投资占总投资</w:t>
            </w:r>
          </w:p>
        </w:tc>
        <w:tc>
          <w:tcPr>
            <w:tcW w:w="1415" w:type="dxa"/>
            <w:vAlign w:val="center"/>
          </w:tcPr>
          <w:p>
            <w:pPr>
              <w:jc w:val="center"/>
              <w:rPr>
                <w:rFonts w:ascii="Times New Roman" w:hAnsi="Times New Roman" w:cs="Times New Roman"/>
                <w:bCs/>
                <w:sz w:val="24"/>
              </w:rPr>
            </w:pPr>
            <w:r>
              <w:rPr>
                <w:rFonts w:hint="eastAsia" w:ascii="Times New Roman" w:hAnsi="Times New Roman" w:cs="Times New Roman"/>
                <w:bCs/>
                <w:sz w:val="24"/>
              </w:rPr>
              <w:t>9.7</w:t>
            </w:r>
            <w:r>
              <w:rPr>
                <w:rFonts w:ascii="Times New Roman" w:hAnsi="Times New Roman" w:cs="Times New Roman"/>
                <w:bCs/>
                <w:sz w:val="24"/>
              </w:rPr>
              <w:t>%</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26" w:type="dxa"/>
            <w:vAlign w:val="center"/>
          </w:tcPr>
          <w:p>
            <w:pPr>
              <w:jc w:val="center"/>
              <w:rPr>
                <w:rFonts w:ascii="Times New Roman" w:hAnsi="Times New Roman" w:cs="Times New Roman"/>
                <w:bCs/>
                <w:sz w:val="24"/>
              </w:rPr>
            </w:pPr>
            <w:r>
              <w:rPr>
                <w:rFonts w:ascii="Times New Roman" w:hAnsi="Times New Roman" w:cs="Times New Roman"/>
                <w:bCs/>
                <w:sz w:val="24"/>
              </w:rPr>
              <w:t>评价经费</w:t>
            </w:r>
          </w:p>
          <w:p>
            <w:pPr>
              <w:jc w:val="center"/>
              <w:rPr>
                <w:rFonts w:ascii="Times New Roman" w:hAnsi="Times New Roman" w:cs="Times New Roman"/>
                <w:bCs/>
                <w:sz w:val="24"/>
              </w:rPr>
            </w:pPr>
            <w:r>
              <w:rPr>
                <w:rFonts w:ascii="Times New Roman" w:hAnsi="Times New Roman" w:cs="Times New Roman"/>
                <w:bCs/>
                <w:sz w:val="24"/>
              </w:rPr>
              <w:t>（万元）</w:t>
            </w:r>
          </w:p>
        </w:tc>
        <w:tc>
          <w:tcPr>
            <w:tcW w:w="2152" w:type="dxa"/>
            <w:vAlign w:val="center"/>
          </w:tcPr>
          <w:p>
            <w:pPr>
              <w:jc w:val="center"/>
              <w:rPr>
                <w:rFonts w:ascii="Times New Roman" w:hAnsi="Times New Roman" w:cs="Times New Roman"/>
                <w:bCs/>
                <w:sz w:val="24"/>
              </w:rPr>
            </w:pPr>
            <w:r>
              <w:rPr>
                <w:rFonts w:hint="eastAsia" w:ascii="Times New Roman" w:hAnsi="Times New Roman" w:cs="Times New Roman"/>
                <w:bCs/>
                <w:sz w:val="24"/>
              </w:rPr>
              <w:t>/</w:t>
            </w:r>
          </w:p>
        </w:tc>
        <w:tc>
          <w:tcPr>
            <w:tcW w:w="1437" w:type="dxa"/>
            <w:gridSpan w:val="2"/>
            <w:vAlign w:val="center"/>
          </w:tcPr>
          <w:p>
            <w:pPr>
              <w:jc w:val="center"/>
              <w:rPr>
                <w:rFonts w:ascii="Times New Roman" w:hAnsi="Times New Roman" w:cs="Times New Roman"/>
                <w:bCs/>
                <w:sz w:val="24"/>
              </w:rPr>
            </w:pPr>
            <w:r>
              <w:rPr>
                <w:rFonts w:hint="eastAsia" w:ascii="Times New Roman" w:hAnsi="Times New Roman" w:cs="Times New Roman"/>
                <w:bCs/>
                <w:sz w:val="24"/>
              </w:rPr>
              <w:t>预计</w:t>
            </w:r>
            <w:r>
              <w:rPr>
                <w:rFonts w:ascii="Times New Roman" w:hAnsi="Times New Roman" w:cs="Times New Roman"/>
                <w:bCs/>
                <w:sz w:val="24"/>
              </w:rPr>
              <w:t>投产日期</w:t>
            </w:r>
          </w:p>
        </w:tc>
        <w:tc>
          <w:tcPr>
            <w:tcW w:w="3931" w:type="dxa"/>
            <w:gridSpan w:val="3"/>
            <w:vAlign w:val="center"/>
          </w:tcPr>
          <w:p>
            <w:pPr>
              <w:jc w:val="center"/>
              <w:rPr>
                <w:rFonts w:ascii="Times New Roman" w:hAnsi="Times New Roman" w:cs="Times New Roman"/>
                <w:bCs/>
                <w:sz w:val="24"/>
              </w:rPr>
            </w:pPr>
            <w:r>
              <w:rPr>
                <w:rFonts w:ascii="Times New Roman" w:hAnsi="Times New Roman" w:cs="Times New Roman"/>
                <w:bCs/>
                <w:sz w:val="24"/>
              </w:rPr>
              <w:t>201</w:t>
            </w:r>
            <w:r>
              <w:rPr>
                <w:rFonts w:hint="eastAsia" w:ascii="Times New Roman" w:hAnsi="Times New Roman" w:cs="Times New Roman"/>
                <w:bCs/>
                <w:sz w:val="24"/>
              </w:rPr>
              <w:t>9</w:t>
            </w:r>
            <w:r>
              <w:rPr>
                <w:rFonts w:ascii="Times New Roman" w:hAnsi="Times New Roman" w:cs="Times New Roman"/>
                <w:bCs/>
                <w:sz w:val="24"/>
              </w:rPr>
              <w:t>年</w:t>
            </w:r>
            <w:r>
              <w:rPr>
                <w:rFonts w:hint="eastAsia" w:ascii="Times New Roman" w:hAnsi="Times New Roman" w:cs="Times New Roman"/>
                <w:bCs/>
                <w:sz w:val="24"/>
              </w:rPr>
              <w:t>8</w:t>
            </w:r>
            <w:r>
              <w:rPr>
                <w:rFonts w:ascii="Times New Roman" w:hAnsi="Times New Roman" w:cs="Times New Roman"/>
                <w:bCs/>
                <w:sz w:val="24"/>
              </w:rPr>
              <w:t>月</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trPr>
        <w:tc>
          <w:tcPr>
            <w:tcW w:w="9246" w:type="dxa"/>
            <w:gridSpan w:val="7"/>
          </w:tcPr>
          <w:p>
            <w:pPr>
              <w:rPr>
                <w:rFonts w:ascii="Times New Roman" w:hAnsi="Times New Roman" w:eastAsia="黑体" w:cs="Times New Roman"/>
                <w:b/>
                <w:sz w:val="28"/>
              </w:rPr>
            </w:pPr>
            <w:r>
              <w:rPr>
                <w:rFonts w:ascii="Times New Roman" w:hAnsi="Times New Roman" w:cs="Times New Roman"/>
                <w:b/>
                <w:sz w:val="30"/>
              </w:rPr>
              <w:t>1</w:t>
            </w:r>
            <w:r>
              <w:rPr>
                <w:rFonts w:hint="eastAsia" w:ascii="Times New Roman" w:hAnsi="Times New Roman" w:cs="Times New Roman"/>
                <w:b/>
                <w:sz w:val="30"/>
              </w:rPr>
              <w:t>.1</w:t>
            </w:r>
            <w:r>
              <w:rPr>
                <w:rFonts w:ascii="Times New Roman" w:hAnsi="Times New Roman" w:cs="Times New Roman"/>
                <w:b/>
                <w:sz w:val="30"/>
              </w:rPr>
              <w:t>工程内容及规模：</w:t>
            </w:r>
          </w:p>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1.1</w:t>
            </w:r>
            <w:r>
              <w:rPr>
                <w:rFonts w:hint="eastAsia" w:ascii="Times New Roman" w:hAnsi="Times New Roman" w:cs="Times New Roman"/>
                <w:b/>
                <w:bCs/>
                <w:sz w:val="24"/>
                <w:szCs w:val="20"/>
              </w:rPr>
              <w:t>.1</w:t>
            </w:r>
            <w:r>
              <w:rPr>
                <w:rFonts w:ascii="Times New Roman" w:hAnsi="Times New Roman" w:cs="Times New Roman"/>
                <w:b/>
                <w:bCs/>
                <w:sz w:val="24"/>
                <w:szCs w:val="20"/>
              </w:rPr>
              <w:t>项目</w:t>
            </w:r>
            <w:r>
              <w:rPr>
                <w:rFonts w:hint="eastAsia" w:ascii="Times New Roman" w:hAnsi="Times New Roman" w:cs="Times New Roman"/>
                <w:b/>
                <w:bCs/>
                <w:sz w:val="24"/>
                <w:szCs w:val="20"/>
              </w:rPr>
              <w:t>背景及</w:t>
            </w:r>
            <w:r>
              <w:rPr>
                <w:rFonts w:ascii="Times New Roman" w:hAnsi="Times New Roman" w:cs="Times New Roman"/>
                <w:b/>
                <w:bCs/>
                <w:sz w:val="24"/>
                <w:szCs w:val="20"/>
              </w:rPr>
              <w:t>由来</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近年来，随着邵东县社会经济持续快速发展，城市建设日新月异，有力地带动了各大建材行业的迅猛发展。大理石、花岗岩等石材作为城市建设不可缺少的重要建筑材料，对于满足建材行业市场需求显示出至关重要的作用，其作为一种高档建筑装饰材料广泛应用于室内外装饰设计、幕墙装饰和公共设施建设领域。当前，建筑材料需求日益增长，建筑石材利用范围随之增大，具有较好发展空间与广阔市场前景，现代建筑材料加工业，逐步成为产业关联度高、产业链长、提升空间大的循环、节能、环保、低碳优势产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另一方面，随着邵阳市飞速发展，特别是邵东地区各类基础设施和工程建设项目加速推进，对建筑石料、砂石的需求日益增加。根据《水利部办公厅关于开展全国河湖采砂专项整治行动的通知》（2018年6月19日）、《湖南省河道采砂管理办法》（湘政发[2018]33号）和《关于进一步规范全市河道采砂管理的通知》（邵阳市水利局，2018年11月15日）的要求，邵阳市全面禁止自然保护地等区域的采砂行为，全面清理整顿采砂运砂船只，取缔非法砂石场、建（构）筑物和无证采砂船，依法依程序拆除原持有已过许可期限的《湖南省河道管理范围内生产作业许可证》的砂场。因此，随着邵阳市政府加强对辖区水域非法采砂的整治和河流生态系统保护力度的加大，依靠资水、邵水及其支流河道采砂供应的建筑砂石明显减少，但工程建设对砂石料的需求日益增加，供需矛盾增大，严重制约了工程进度和增加了工程成本。</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在上述背景下，邵东县龙新石材厂拟在邵东县火厂坪镇龙新村李家屋组租赁场地建设一条花岗岩和大理石加工生产线，同时利用石材加工过程中边角料生产机制砂。本项目的建设有利于充分利用周边区域石材资源，同时将石材加工废料变废为宝，满足区域市场对建筑石材、砂石的需求，此外，本项目</w:t>
            </w:r>
            <w:r>
              <w:rPr>
                <w:rFonts w:ascii="Times New Roman" w:hAnsi="Times New Roman" w:cs="Times New Roman"/>
                <w:sz w:val="24"/>
              </w:rPr>
              <w:t>可吸收周边闲散劳动力，增加周边居民收入，项目生产运营能够增加当地税收，</w:t>
            </w:r>
            <w:r>
              <w:rPr>
                <w:rFonts w:hint="eastAsia" w:ascii="Times New Roman" w:hAnsi="Times New Roman" w:cs="Times New Roman"/>
                <w:sz w:val="24"/>
              </w:rPr>
              <w:t>对</w:t>
            </w:r>
            <w:r>
              <w:rPr>
                <w:rFonts w:ascii="Times New Roman" w:hAnsi="Times New Roman" w:cs="Times New Roman"/>
                <w:sz w:val="24"/>
              </w:rPr>
              <w:t>促进当地经济发展具有一定的意义。</w:t>
            </w:r>
          </w:p>
          <w:p>
            <w:pPr>
              <w:pStyle w:val="31"/>
              <w:rPr>
                <w:rFonts w:cs="Times New Roman"/>
                <w:color w:val="auto"/>
              </w:rPr>
            </w:pPr>
            <w:r>
              <w:rPr>
                <w:rFonts w:hint="eastAsia" w:cs="Times New Roman"/>
                <w:color w:val="auto"/>
              </w:rPr>
              <w:t>根据《中华人民共和国环境保护法》、《中华人民共和国环境影响评价法》和《建设项目环境保护管理条例》的有关规定，需对该项目进行环境影响评价。</w:t>
            </w:r>
          </w:p>
          <w:p>
            <w:pPr>
              <w:pStyle w:val="31"/>
              <w:rPr>
                <w:rFonts w:cs="Times New Roman"/>
                <w:color w:val="auto"/>
              </w:rPr>
            </w:pPr>
            <w:r>
              <w:rPr>
                <w:rFonts w:hint="eastAsia" w:cs="Times New Roman"/>
                <w:color w:val="auto"/>
              </w:rPr>
              <w:t>本项目“石材加工生产线”在《国民经济行业分类》（GB4754-2017）中属于“C3032建筑用石加工”类别，按照《建设项目环境保护管理分类名录（2018年版）》（以下简称“名录”），其属于“十九、非金属矿物制品业，51石灰和石膏制造、石材加工、人造石制造、砖瓦制造（全部）”类别，需编制环境影响报告表。</w:t>
            </w:r>
          </w:p>
          <w:p>
            <w:pPr>
              <w:pStyle w:val="31"/>
              <w:rPr>
                <w:rFonts w:cs="Times New Roman"/>
                <w:color w:val="auto"/>
              </w:rPr>
            </w:pPr>
            <w:r>
              <w:rPr>
                <w:rFonts w:hint="eastAsia" w:cs="Times New Roman"/>
                <w:color w:val="auto"/>
              </w:rPr>
              <w:t>本项目“机制砂生产线”在《国民经济行业分类》（GB4754-2017）中属于“非金属废料和碎屑加工处理（C4220）”项目，按照《建设项目环境保护管理分类名录（2018年版）》（以下简称“名录”），其属于“三十、废弃资源综合利用业，86废旧资源（含生物质）加工、再生利用（其他）”项目类别，需编制环境影响报告表。</w:t>
            </w:r>
          </w:p>
          <w:p>
            <w:pPr>
              <w:pStyle w:val="31"/>
              <w:rPr>
                <w:rFonts w:cs="Times New Roman"/>
                <w:color w:val="auto"/>
              </w:rPr>
            </w:pPr>
            <w:r>
              <w:rPr>
                <w:rFonts w:hint="eastAsia" w:cs="Times New Roman"/>
                <w:color w:val="auto"/>
              </w:rPr>
              <w:t>综上，本项目环境影响评价类别为编制环境影响报告表。受邵东县龙新石材厂委托，四川兴环科环保技术有限公司承担了该项目的环境影响评价工作。接受委托后，我单位随即组织环评技术人员进行现场踏勘、资料图件收集、自然环境现状调查、环境质量现状调查及同类工程调查，在初步调查研究基础上，按照《建设项目环境影响评价技术导则》的规范要求，编制完成了本项目环境影响报告表，从环保角度提出防治污染环境的对策与措施，并报请生态环境主管部门审查、审批，以期为项目实施和管理提供参考依据。</w:t>
            </w:r>
          </w:p>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1.2</w:t>
            </w:r>
            <w:r>
              <w:rPr>
                <w:rFonts w:ascii="Times New Roman" w:hAnsi="Times New Roman" w:cs="Times New Roman"/>
                <w:b/>
                <w:bCs/>
                <w:sz w:val="24"/>
                <w:szCs w:val="20"/>
              </w:rPr>
              <w:t>建设地点</w:t>
            </w:r>
          </w:p>
          <w:p>
            <w:pPr>
              <w:spacing w:line="360" w:lineRule="auto"/>
              <w:ind w:firstLine="480" w:firstLineChars="200"/>
              <w:rPr>
                <w:rFonts w:ascii="Times New Roman" w:hAnsi="Times New Roman" w:cs="Times New Roman"/>
                <w:sz w:val="24"/>
                <w:szCs w:val="28"/>
              </w:rPr>
            </w:pPr>
            <w:r>
              <w:rPr>
                <w:rFonts w:hint="eastAsia" w:ascii="Times New Roman" w:hAnsi="Times New Roman" w:cs="Times New Roman"/>
                <w:sz w:val="24"/>
                <w:szCs w:val="28"/>
              </w:rPr>
              <w:t>本项目租赁邵东县火厂坪镇龙新村李家屋组的集体土地进行建设。项目中心地理坐标为东经</w:t>
            </w:r>
            <w:r>
              <w:rPr>
                <w:rFonts w:ascii="Times New Roman" w:hAnsi="Times New Roman" w:cs="Times New Roman"/>
                <w:sz w:val="24"/>
                <w:szCs w:val="28"/>
              </w:rPr>
              <w:t>111°54′54.78″、北纬29°10′09.45″，</w:t>
            </w:r>
            <w:r>
              <w:rPr>
                <w:rFonts w:hint="eastAsia" w:ascii="Times New Roman" w:hAnsi="Times New Roman" w:cs="Times New Roman"/>
                <w:sz w:val="24"/>
                <w:szCs w:val="28"/>
              </w:rPr>
              <w:t>场地出口位于厂区西南侧，与村道相连，交通便利。项目具体地理位置见附图1。</w:t>
            </w:r>
          </w:p>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1.3</w:t>
            </w:r>
            <w:r>
              <w:rPr>
                <w:rFonts w:ascii="Times New Roman" w:hAnsi="Times New Roman" w:cs="Times New Roman"/>
                <w:b/>
                <w:bCs/>
                <w:sz w:val="24"/>
                <w:szCs w:val="20"/>
              </w:rPr>
              <w:t>项目概况</w:t>
            </w:r>
          </w:p>
          <w:p>
            <w:pPr>
              <w:pStyle w:val="31"/>
              <w:rPr>
                <w:rFonts w:cs="Times New Roman"/>
                <w:color w:val="auto"/>
              </w:rPr>
            </w:pPr>
            <w:r>
              <w:rPr>
                <w:rFonts w:cs="Times New Roman"/>
                <w:color w:val="auto"/>
              </w:rPr>
              <w:t>项目名称：</w:t>
            </w:r>
            <w:r>
              <w:rPr>
                <w:rFonts w:hint="eastAsia" w:eastAsia="宋体" w:cs="Times New Roman"/>
                <w:color w:val="auto"/>
                <w:kern w:val="0"/>
              </w:rPr>
              <w:t>石材加工和机制砂生产项目</w:t>
            </w:r>
          </w:p>
          <w:p>
            <w:pPr>
              <w:pStyle w:val="31"/>
              <w:rPr>
                <w:rFonts w:cs="Times New Roman"/>
                <w:color w:val="auto"/>
              </w:rPr>
            </w:pPr>
            <w:r>
              <w:rPr>
                <w:rFonts w:cs="Times New Roman"/>
                <w:color w:val="auto"/>
              </w:rPr>
              <w:t>建设单位：</w:t>
            </w:r>
            <w:r>
              <w:rPr>
                <w:rFonts w:hint="eastAsia" w:eastAsia="宋体" w:cs="Times New Roman"/>
                <w:color w:val="auto"/>
                <w:kern w:val="0"/>
              </w:rPr>
              <w:t>邵东县龙新石材厂</w:t>
            </w:r>
          </w:p>
          <w:p>
            <w:pPr>
              <w:pStyle w:val="31"/>
              <w:rPr>
                <w:rFonts w:cs="Times New Roman"/>
                <w:color w:val="auto"/>
              </w:rPr>
            </w:pPr>
            <w:r>
              <w:rPr>
                <w:rFonts w:cs="Times New Roman"/>
                <w:color w:val="auto"/>
              </w:rPr>
              <w:t>建设性质：新建</w:t>
            </w:r>
          </w:p>
          <w:p>
            <w:pPr>
              <w:pStyle w:val="31"/>
              <w:rPr>
                <w:rFonts w:cs="Times New Roman"/>
                <w:color w:val="auto"/>
              </w:rPr>
            </w:pPr>
            <w:r>
              <w:rPr>
                <w:rFonts w:cs="Times New Roman"/>
                <w:color w:val="auto"/>
              </w:rPr>
              <w:t>建设地点：</w:t>
            </w:r>
            <w:bookmarkStart w:id="3" w:name="_Toc242927706"/>
            <w:bookmarkStart w:id="4" w:name="_Toc235679754"/>
            <w:bookmarkStart w:id="5" w:name="_Toc231651731"/>
            <w:bookmarkStart w:id="6" w:name="_Toc185843204"/>
            <w:bookmarkStart w:id="7" w:name="_Toc236714109"/>
            <w:bookmarkStart w:id="8" w:name="_Toc225049973"/>
            <w:bookmarkStart w:id="9" w:name="_Toc228761291"/>
            <w:bookmarkStart w:id="10" w:name="_Toc240116999"/>
            <w:bookmarkStart w:id="11" w:name="_Toc185849013"/>
            <w:bookmarkStart w:id="12" w:name="_Toc185149848"/>
            <w:bookmarkStart w:id="13" w:name="_Toc227638286"/>
            <w:bookmarkStart w:id="14" w:name="_Toc186256635"/>
            <w:bookmarkStart w:id="15" w:name="_Toc235680610"/>
            <w:bookmarkStart w:id="16" w:name="_Toc235680015"/>
            <w:bookmarkStart w:id="17" w:name="_Toc236998001"/>
            <w:bookmarkStart w:id="18" w:name="_Toc235680328"/>
            <w:bookmarkStart w:id="19" w:name="_Toc259197340"/>
            <w:r>
              <w:rPr>
                <w:rFonts w:hint="eastAsia" w:cs="Times New Roman"/>
                <w:color w:val="auto"/>
              </w:rPr>
              <w:t>邵东县火厂坪镇龙新村李家屋组</w:t>
            </w:r>
          </w:p>
          <w:p>
            <w:pPr>
              <w:pStyle w:val="31"/>
              <w:rPr>
                <w:rFonts w:cs="Times New Roman"/>
                <w:color w:val="auto"/>
              </w:rPr>
            </w:pPr>
            <w:r>
              <w:rPr>
                <w:rFonts w:hint="eastAsia" w:cs="Times New Roman"/>
                <w:color w:val="auto"/>
              </w:rPr>
              <w:t>占地面积：6400m</w:t>
            </w:r>
            <w:r>
              <w:rPr>
                <w:rFonts w:hint="eastAsia" w:cs="Times New Roman"/>
                <w:color w:val="auto"/>
                <w:vertAlign w:val="superscript"/>
              </w:rPr>
              <w:t>2</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总投资</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imes New Roman" w:hAnsi="Times New Roman" w:cs="Times New Roman"/>
                <w:sz w:val="24"/>
              </w:rPr>
              <w:t>：项目总投资</w:t>
            </w:r>
            <w:r>
              <w:rPr>
                <w:rFonts w:hint="eastAsia" w:ascii="Times New Roman" w:hAnsi="Times New Roman" w:cs="Times New Roman"/>
                <w:sz w:val="24"/>
              </w:rPr>
              <w:t>1000万元</w:t>
            </w:r>
            <w:r>
              <w:rPr>
                <w:rFonts w:ascii="Times New Roman" w:hAnsi="Times New Roman" w:cs="Times New Roman"/>
                <w:sz w:val="24"/>
              </w:rPr>
              <w:t>人民币，其中环保投资</w:t>
            </w:r>
            <w:r>
              <w:rPr>
                <w:rFonts w:hint="eastAsia" w:ascii="Times New Roman" w:hAnsi="Times New Roman" w:cs="Times New Roman"/>
                <w:sz w:val="24"/>
              </w:rPr>
              <w:t>97</w:t>
            </w:r>
            <w:r>
              <w:rPr>
                <w:rFonts w:ascii="Times New Roman" w:hAnsi="Times New Roman" w:cs="Times New Roman"/>
                <w:sz w:val="24"/>
              </w:rPr>
              <w:t>万元，占总投资</w:t>
            </w:r>
            <w:r>
              <w:rPr>
                <w:rFonts w:hint="eastAsia" w:ascii="Times New Roman" w:hAnsi="Times New Roman" w:cs="Times New Roman"/>
                <w:sz w:val="24"/>
              </w:rPr>
              <w:t>9.7</w:t>
            </w:r>
            <w:r>
              <w:rPr>
                <w:rFonts w:ascii="Times New Roman" w:hAnsi="Times New Roman" w:cs="Times New Roman"/>
                <w:sz w:val="24"/>
              </w:rPr>
              <w:t>%。</w:t>
            </w:r>
          </w:p>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1.4</w:t>
            </w:r>
            <w:r>
              <w:rPr>
                <w:rFonts w:ascii="Times New Roman" w:hAnsi="Times New Roman" w:cs="Times New Roman"/>
                <w:b/>
                <w:bCs/>
                <w:sz w:val="24"/>
                <w:szCs w:val="20"/>
              </w:rPr>
              <w:t>建设内容和规模</w:t>
            </w:r>
          </w:p>
          <w:p>
            <w:pPr>
              <w:spacing w:line="336" w:lineRule="auto"/>
              <w:ind w:firstLine="480" w:firstLineChars="200"/>
              <w:rPr>
                <w:rFonts w:ascii="Times New Roman" w:hAnsi="Times New Roman" w:cs="Times New Roman"/>
                <w:sz w:val="24"/>
                <w:szCs w:val="28"/>
              </w:rPr>
            </w:pPr>
            <w:r>
              <w:rPr>
                <w:rFonts w:hint="eastAsia" w:ascii="Times New Roman" w:hAnsi="Times New Roman" w:cs="Times New Roman"/>
                <w:sz w:val="24"/>
                <w:szCs w:val="28"/>
              </w:rPr>
              <w:t>本项目租赁邵东县火厂坪镇龙新村李家屋组的场地进行建设，总占地面积约为6400m</w:t>
            </w:r>
            <w:r>
              <w:rPr>
                <w:rFonts w:hint="eastAsia" w:ascii="Times New Roman" w:hAnsi="Times New Roman" w:cs="Times New Roman"/>
                <w:sz w:val="24"/>
                <w:szCs w:val="28"/>
                <w:vertAlign w:val="superscript"/>
              </w:rPr>
              <w:t>2</w:t>
            </w:r>
            <w:r>
              <w:rPr>
                <w:rFonts w:hint="eastAsia" w:ascii="Times New Roman" w:hAnsi="Times New Roman" w:cs="Times New Roman"/>
                <w:sz w:val="24"/>
                <w:szCs w:val="28"/>
              </w:rPr>
              <w:t>，总建筑面积4800m</w:t>
            </w:r>
            <w:r>
              <w:rPr>
                <w:rFonts w:hint="eastAsia" w:ascii="Times New Roman" w:hAnsi="Times New Roman" w:cs="Times New Roman"/>
                <w:sz w:val="24"/>
                <w:szCs w:val="28"/>
                <w:vertAlign w:val="superscript"/>
              </w:rPr>
              <w:t>2</w:t>
            </w:r>
            <w:r>
              <w:rPr>
                <w:rFonts w:hint="eastAsia" w:ascii="Times New Roman" w:hAnsi="Times New Roman" w:cs="Times New Roman"/>
                <w:sz w:val="24"/>
                <w:szCs w:val="28"/>
              </w:rPr>
              <w:t>。项目拟建1条石材加工生产线，配套建设一条机制砂生产线。厂区建筑物包括石材加工车间、砂石生产车间、原料和产品堆场、办公用房等，设有值班室、机修间、配电室等，上述建筑物均为新建。本项目建成后可生产45万m</w:t>
            </w:r>
            <w:r>
              <w:rPr>
                <w:rFonts w:hint="eastAsia" w:ascii="Times New Roman" w:hAnsi="Times New Roman" w:cs="Times New Roman"/>
                <w:sz w:val="24"/>
                <w:szCs w:val="28"/>
                <w:vertAlign w:val="superscript"/>
              </w:rPr>
              <w:t>2</w:t>
            </w:r>
            <w:r>
              <w:rPr>
                <w:rFonts w:hint="eastAsia" w:ascii="Times New Roman" w:hAnsi="Times New Roman" w:cs="Times New Roman"/>
                <w:sz w:val="24"/>
                <w:szCs w:val="28"/>
              </w:rPr>
              <w:t>石材（约7000m</w:t>
            </w:r>
            <w:r>
              <w:rPr>
                <w:rFonts w:hint="eastAsia" w:ascii="Times New Roman" w:hAnsi="Times New Roman" w:cs="Times New Roman"/>
                <w:sz w:val="24"/>
                <w:szCs w:val="28"/>
                <w:vertAlign w:val="superscript"/>
              </w:rPr>
              <w:t>3</w:t>
            </w:r>
            <w:r>
              <w:rPr>
                <w:rFonts w:hint="eastAsia" w:ascii="Times New Roman" w:hAnsi="Times New Roman" w:cs="Times New Roman"/>
                <w:sz w:val="24"/>
                <w:szCs w:val="28"/>
              </w:rPr>
              <w:t>），同时年产40万吨砂石。</w:t>
            </w:r>
          </w:p>
          <w:p>
            <w:pPr>
              <w:spacing w:line="336" w:lineRule="auto"/>
              <w:ind w:firstLine="480" w:firstLineChars="200"/>
              <w:rPr>
                <w:rFonts w:ascii="Times New Roman" w:hAnsi="Times New Roman" w:cs="Times New Roman"/>
                <w:sz w:val="24"/>
                <w:szCs w:val="28"/>
                <w:u w:val="single"/>
              </w:rPr>
            </w:pPr>
            <w:r>
              <w:rPr>
                <w:rFonts w:hint="eastAsia" w:ascii="Times New Roman" w:hAnsi="Times New Roman" w:cs="Times New Roman"/>
                <w:sz w:val="24"/>
                <w:szCs w:val="28"/>
              </w:rPr>
              <w:t>本项目涉及的原辅材料均为外购，不涉及采矿，项目机制砂生产线不设置洗砂工序，</w:t>
            </w:r>
            <w:r>
              <w:rPr>
                <w:rFonts w:hint="eastAsia" w:ascii="Times New Roman" w:hAnsi="Times New Roman" w:cs="Times New Roman"/>
                <w:sz w:val="24"/>
                <w:szCs w:val="28"/>
                <w:u w:val="single"/>
              </w:rPr>
              <w:t>制砂原料为区域石材加工厂的废石料，不外购采石场碎石进行加工。</w:t>
            </w:r>
          </w:p>
          <w:p>
            <w:pPr>
              <w:pStyle w:val="31"/>
              <w:spacing w:line="336" w:lineRule="auto"/>
              <w:rPr>
                <w:color w:val="auto"/>
              </w:rPr>
            </w:pPr>
            <w:r>
              <w:rPr>
                <w:rFonts w:hint="eastAsia"/>
                <w:color w:val="auto"/>
              </w:rPr>
              <w:t>根据建设单位提供的资料，项目主要工程内容详见</w:t>
            </w:r>
            <w:r>
              <w:rPr>
                <w:color w:val="auto"/>
              </w:rPr>
              <w:fldChar w:fldCharType="begin"/>
            </w:r>
            <w:r>
              <w:rPr>
                <w:color w:val="auto"/>
              </w:rPr>
              <w:instrText xml:space="preserve"> </w:instrText>
            </w:r>
            <w:r>
              <w:rPr>
                <w:rFonts w:hint="eastAsia"/>
                <w:color w:val="auto"/>
              </w:rPr>
              <w:instrText xml:space="preserve">REF _Ref491275537 \h</w:instrText>
            </w:r>
            <w:r>
              <w:rPr>
                <w:color w:val="auto"/>
              </w:rPr>
              <w:instrText xml:space="preserve">  \* MERGEFORMAT </w:instrText>
            </w:r>
            <w:r>
              <w:rPr>
                <w:color w:val="auto"/>
              </w:rPr>
              <w:fldChar w:fldCharType="separate"/>
            </w:r>
            <w:r>
              <w:rPr>
                <w:rFonts w:hint="eastAsia"/>
                <w:color w:val="auto"/>
              </w:rPr>
              <w:t>表1-</w:t>
            </w:r>
            <w:r>
              <w:rPr>
                <w:color w:val="auto"/>
              </w:rPr>
              <w:t>1</w:t>
            </w:r>
            <w:r>
              <w:rPr>
                <w:color w:val="auto"/>
              </w:rPr>
              <w:fldChar w:fldCharType="end"/>
            </w:r>
            <w:r>
              <w:rPr>
                <w:rFonts w:hint="eastAsia"/>
                <w:color w:val="auto"/>
              </w:rPr>
              <w:t>。</w:t>
            </w:r>
          </w:p>
          <w:p>
            <w:pPr>
              <w:pStyle w:val="38"/>
              <w:spacing w:before="156"/>
              <w:rPr>
                <w:color w:val="auto"/>
              </w:rPr>
            </w:pPr>
            <w:bookmarkStart w:id="20" w:name="_Ref491275537"/>
            <w:bookmarkStart w:id="21" w:name="_Ref492653673"/>
            <w:r>
              <w:rPr>
                <w:rFonts w:hint="eastAsia" w:cs="Times New Roman"/>
                <w:color w:val="auto"/>
              </w:rPr>
              <w:t>表1-</w:t>
            </w:r>
            <w:r>
              <w:rPr>
                <w:rFonts w:cs="Times New Roman"/>
                <w:b w:val="0"/>
                <w:color w:val="auto"/>
              </w:rPr>
              <w:fldChar w:fldCharType="begin"/>
            </w:r>
            <w:r>
              <w:rPr>
                <w:rFonts w:cs="Times New Roman"/>
                <w:color w:val="auto"/>
              </w:rPr>
              <w:instrText xml:space="preserve"> </w:instrText>
            </w:r>
            <w:r>
              <w:rPr>
                <w:rFonts w:hint="eastAsia" w:cs="Times New Roman"/>
                <w:color w:val="auto"/>
              </w:rPr>
              <w:instrText xml:space="preserve">SEQ 表1- \* ARABIC</w:instrText>
            </w:r>
            <w:r>
              <w:rPr>
                <w:rFonts w:cs="Times New Roman"/>
                <w:color w:val="auto"/>
              </w:rPr>
              <w:instrText xml:space="preserve"> </w:instrText>
            </w:r>
            <w:r>
              <w:rPr>
                <w:rFonts w:cs="Times New Roman"/>
                <w:b w:val="0"/>
                <w:color w:val="auto"/>
              </w:rPr>
              <w:fldChar w:fldCharType="separate"/>
            </w:r>
            <w:r>
              <w:rPr>
                <w:rFonts w:cs="Times New Roman"/>
                <w:color w:val="auto"/>
              </w:rPr>
              <w:t>1</w:t>
            </w:r>
            <w:r>
              <w:rPr>
                <w:rFonts w:cs="Times New Roman"/>
                <w:b w:val="0"/>
                <w:color w:val="auto"/>
              </w:rPr>
              <w:fldChar w:fldCharType="end"/>
            </w:r>
            <w:bookmarkEnd w:id="20"/>
            <w:r>
              <w:rPr>
                <w:color w:val="auto"/>
              </w:rPr>
              <w:t xml:space="preserve">   项目</w:t>
            </w:r>
            <w:r>
              <w:rPr>
                <w:rFonts w:hint="eastAsia"/>
                <w:color w:val="auto"/>
              </w:rPr>
              <w:t>组成</w:t>
            </w:r>
            <w:r>
              <w:rPr>
                <w:color w:val="auto"/>
              </w:rPr>
              <w:t>一览表</w:t>
            </w:r>
            <w:bookmarkEnd w:id="21"/>
          </w:p>
          <w:tbl>
            <w:tblPr>
              <w:tblStyle w:val="25"/>
              <w:tblW w:w="8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52"/>
              <w:gridCol w:w="1134"/>
              <w:gridCol w:w="3686"/>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1" w:type="dxa"/>
                  <w:gridSpan w:val="2"/>
                  <w:vAlign w:val="center"/>
                </w:tcPr>
                <w:p>
                  <w:pPr>
                    <w:jc w:val="center"/>
                    <w:rPr>
                      <w:rFonts w:ascii="Times New Roman" w:hAnsi="Times New Roman" w:cs="Times New Roman"/>
                      <w:b/>
                      <w:szCs w:val="21"/>
                    </w:rPr>
                  </w:pPr>
                  <w:r>
                    <w:rPr>
                      <w:rFonts w:ascii="Times New Roman" w:hAnsi="Times New Roman" w:cs="Times New Roman"/>
                      <w:b/>
                      <w:szCs w:val="21"/>
                    </w:rPr>
                    <w:t>工程类别</w:t>
                  </w:r>
                  <w:r>
                    <w:rPr>
                      <w:rFonts w:hint="eastAsia" w:ascii="Times New Roman" w:hAnsi="Times New Roman" w:cs="Times New Roman"/>
                      <w:b/>
                      <w:szCs w:val="21"/>
                    </w:rPr>
                    <w:t>与</w:t>
                  </w:r>
                  <w:r>
                    <w:rPr>
                      <w:rFonts w:ascii="Times New Roman" w:hAnsi="Times New Roman" w:cs="Times New Roman"/>
                      <w:b/>
                      <w:szCs w:val="21"/>
                    </w:rPr>
                    <w:t>名称</w:t>
                  </w:r>
                </w:p>
              </w:tc>
              <w:tc>
                <w:tcPr>
                  <w:tcW w:w="4820" w:type="dxa"/>
                  <w:gridSpan w:val="2"/>
                  <w:vAlign w:val="center"/>
                </w:tcPr>
                <w:p>
                  <w:pPr>
                    <w:jc w:val="center"/>
                    <w:rPr>
                      <w:rFonts w:ascii="Times New Roman" w:hAnsi="Times New Roman" w:cs="Times New Roman"/>
                      <w:b/>
                      <w:szCs w:val="21"/>
                    </w:rPr>
                  </w:pPr>
                  <w:r>
                    <w:rPr>
                      <w:rFonts w:ascii="Times New Roman" w:hAnsi="Times New Roman" w:cs="Times New Roman"/>
                      <w:b/>
                      <w:szCs w:val="21"/>
                    </w:rPr>
                    <w:t>工程</w:t>
                  </w:r>
                  <w:r>
                    <w:rPr>
                      <w:rFonts w:hint="eastAsia" w:ascii="Times New Roman" w:hAnsi="Times New Roman" w:cs="Times New Roman"/>
                      <w:b/>
                      <w:szCs w:val="21"/>
                    </w:rPr>
                    <w:t>建设</w:t>
                  </w:r>
                  <w:r>
                    <w:rPr>
                      <w:rFonts w:ascii="Times New Roman" w:hAnsi="Times New Roman" w:cs="Times New Roman"/>
                      <w:b/>
                      <w:szCs w:val="21"/>
                    </w:rPr>
                    <w:t>内容</w:t>
                  </w:r>
                  <w:r>
                    <w:rPr>
                      <w:rFonts w:hint="eastAsia" w:ascii="Times New Roman" w:hAnsi="Times New Roman" w:cs="Times New Roman"/>
                      <w:b/>
                      <w:szCs w:val="21"/>
                    </w:rPr>
                    <w:t>与</w:t>
                  </w:r>
                  <w:r>
                    <w:rPr>
                      <w:rFonts w:ascii="Times New Roman" w:hAnsi="Times New Roman" w:cs="Times New Roman"/>
                      <w:b/>
                      <w:szCs w:val="21"/>
                    </w:rPr>
                    <w:t>规模</w:t>
                  </w:r>
                </w:p>
              </w:tc>
              <w:tc>
                <w:tcPr>
                  <w:tcW w:w="1834" w:type="dxa"/>
                  <w:vAlign w:val="center"/>
                </w:tcPr>
                <w:p>
                  <w:pPr>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restart"/>
                  <w:vAlign w:val="center"/>
                </w:tcPr>
                <w:p>
                  <w:pPr>
                    <w:jc w:val="center"/>
                    <w:rPr>
                      <w:rFonts w:ascii="Times New Roman" w:hAnsi="Times New Roman" w:cs="Times New Roman"/>
                    </w:rPr>
                  </w:pPr>
                  <w:r>
                    <w:rPr>
                      <w:rFonts w:ascii="Times New Roman" w:hAnsi="Times New Roman" w:cs="Times New Roman"/>
                    </w:rPr>
                    <w:t>主体</w:t>
                  </w:r>
                </w:p>
                <w:p>
                  <w:pPr>
                    <w:jc w:val="center"/>
                    <w:rPr>
                      <w:rFonts w:ascii="Times New Roman" w:hAnsi="Times New Roman" w:cs="Times New Roman"/>
                    </w:rPr>
                  </w:pPr>
                  <w:r>
                    <w:rPr>
                      <w:rFonts w:ascii="Times New Roman" w:hAnsi="Times New Roman" w:cs="Times New Roman"/>
                    </w:rPr>
                    <w:t>工程</w:t>
                  </w:r>
                </w:p>
              </w:tc>
              <w:tc>
                <w:tcPr>
                  <w:tcW w:w="1452" w:type="dxa"/>
                  <w:vAlign w:val="center"/>
                </w:tcPr>
                <w:p>
                  <w:pPr>
                    <w:jc w:val="center"/>
                    <w:rPr>
                      <w:rFonts w:ascii="Times New Roman" w:hAnsi="Times New Roman" w:cs="Times New Roman"/>
                    </w:rPr>
                  </w:pPr>
                  <w:r>
                    <w:rPr>
                      <w:rFonts w:hint="eastAsia" w:ascii="Times New Roman" w:hAnsi="Times New Roman" w:cs="Times New Roman"/>
                    </w:rPr>
                    <w:t>石材加工车间</w:t>
                  </w:r>
                </w:p>
              </w:tc>
              <w:tc>
                <w:tcPr>
                  <w:tcW w:w="4820" w:type="dxa"/>
                  <w:gridSpan w:val="2"/>
                  <w:vAlign w:val="center"/>
                </w:tcPr>
                <w:p>
                  <w:pPr>
                    <w:jc w:val="center"/>
                    <w:rPr>
                      <w:rFonts w:ascii="Times New Roman" w:hAnsi="Times New Roman" w:cs="Times New Roman"/>
                      <w:bCs/>
                      <w:szCs w:val="21"/>
                    </w:rPr>
                  </w:pPr>
                  <w:r>
                    <w:rPr>
                      <w:rFonts w:hint="eastAsia" w:ascii="Times New Roman" w:hAnsi="Times New Roman" w:cs="Times New Roman"/>
                      <w:bCs/>
                      <w:szCs w:val="21"/>
                    </w:rPr>
                    <w:t>1F，</w:t>
                  </w:r>
                  <w:r>
                    <w:rPr>
                      <w:rFonts w:hint="eastAsia" w:ascii="Times New Roman" w:hAnsi="Times New Roman" w:cs="Times New Roman"/>
                    </w:rPr>
                    <w:t>钢结构，50m×20m，</w:t>
                  </w:r>
                  <w:r>
                    <w:rPr>
                      <w:rFonts w:hint="eastAsia" w:ascii="Times New Roman" w:hAnsi="Times New Roman" w:cs="Times New Roman"/>
                      <w:bCs/>
                      <w:szCs w:val="21"/>
                    </w:rPr>
                    <w:t>建筑</w:t>
                  </w:r>
                  <w:r>
                    <w:rPr>
                      <w:rFonts w:ascii="Times New Roman" w:hAnsi="Times New Roman" w:cs="Times New Roman"/>
                      <w:bCs/>
                      <w:szCs w:val="21"/>
                    </w:rPr>
                    <w:t>面积</w:t>
                  </w:r>
                  <w:r>
                    <w:rPr>
                      <w:rFonts w:hint="eastAsia" w:ascii="Times New Roman" w:hAnsi="Times New Roman" w:cs="Times New Roman"/>
                      <w:szCs w:val="21"/>
                    </w:rPr>
                    <w:t>1000</w:t>
                  </w:r>
                  <w:r>
                    <w:rPr>
                      <w:rFonts w:ascii="Times New Roman" w:hAnsi="Times New Roman" w:cs="Times New Roman"/>
                      <w:szCs w:val="21"/>
                    </w:rPr>
                    <w:t>m</w:t>
                  </w:r>
                  <w:r>
                    <w:rPr>
                      <w:rFonts w:ascii="Times New Roman" w:hAnsi="Times New Roman" w:cs="Times New Roman"/>
                      <w:szCs w:val="21"/>
                      <w:vertAlign w:val="superscript"/>
                    </w:rPr>
                    <w:t>2</w:t>
                  </w:r>
                  <w:r>
                    <w:rPr>
                      <w:rFonts w:hint="eastAsia" w:ascii="Times New Roman" w:hAnsi="Times New Roman" w:cs="Times New Roman"/>
                    </w:rPr>
                    <w:t>，布置有龙门切割机、红外线切割机等。</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r>
                    <w:rPr>
                      <w:rFonts w:hint="eastAsia" w:ascii="Times New Roman" w:hAnsi="Times New Roman" w:cs="Times New Roman"/>
                    </w:rPr>
                    <w:t>，钢结构密闭厂房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hint="eastAsia" w:ascii="Times New Roman" w:hAnsi="Times New Roman" w:cs="Times New Roman"/>
                    </w:rPr>
                    <w:t>砂石生产车间</w:t>
                  </w:r>
                </w:p>
              </w:tc>
              <w:tc>
                <w:tcPr>
                  <w:tcW w:w="4820" w:type="dxa"/>
                  <w:gridSpan w:val="2"/>
                  <w:vAlign w:val="center"/>
                </w:tcPr>
                <w:p>
                  <w:pPr>
                    <w:jc w:val="center"/>
                    <w:rPr>
                      <w:rFonts w:ascii="Times New Roman" w:hAnsi="Times New Roman" w:cs="Times New Roman"/>
                      <w:bCs/>
                      <w:szCs w:val="21"/>
                    </w:rPr>
                  </w:pPr>
                  <w:r>
                    <w:rPr>
                      <w:rFonts w:hint="eastAsia" w:ascii="Times New Roman" w:hAnsi="Times New Roman" w:cs="Times New Roman"/>
                      <w:bCs/>
                      <w:szCs w:val="21"/>
                    </w:rPr>
                    <w:t>1F，</w:t>
                  </w:r>
                  <w:r>
                    <w:rPr>
                      <w:rFonts w:hint="eastAsia" w:ascii="Times New Roman" w:hAnsi="Times New Roman" w:cs="Times New Roman"/>
                    </w:rPr>
                    <w:t>钢结构，50m×30m，</w:t>
                  </w:r>
                  <w:r>
                    <w:rPr>
                      <w:rFonts w:hint="eastAsia" w:ascii="Times New Roman" w:hAnsi="Times New Roman" w:cs="Times New Roman"/>
                      <w:bCs/>
                      <w:szCs w:val="21"/>
                    </w:rPr>
                    <w:t>建筑</w:t>
                  </w:r>
                  <w:r>
                    <w:rPr>
                      <w:rFonts w:ascii="Times New Roman" w:hAnsi="Times New Roman" w:cs="Times New Roman"/>
                      <w:bCs/>
                      <w:szCs w:val="21"/>
                    </w:rPr>
                    <w:t>面积</w:t>
                  </w:r>
                  <w:r>
                    <w:rPr>
                      <w:rFonts w:hint="eastAsia" w:ascii="Times New Roman" w:hAnsi="Times New Roman" w:cs="Times New Roman"/>
                      <w:szCs w:val="21"/>
                    </w:rPr>
                    <w:t>1500</w:t>
                  </w:r>
                  <w:r>
                    <w:rPr>
                      <w:rFonts w:ascii="Times New Roman" w:hAnsi="Times New Roman" w:cs="Times New Roman"/>
                      <w:szCs w:val="21"/>
                    </w:rPr>
                    <w:t>m</w:t>
                  </w:r>
                  <w:r>
                    <w:rPr>
                      <w:rFonts w:ascii="Times New Roman" w:hAnsi="Times New Roman" w:cs="Times New Roman"/>
                      <w:szCs w:val="21"/>
                      <w:vertAlign w:val="superscript"/>
                    </w:rPr>
                    <w:t>2</w:t>
                  </w:r>
                  <w:r>
                    <w:rPr>
                      <w:rFonts w:hint="eastAsia" w:ascii="Times New Roman" w:hAnsi="Times New Roman" w:cs="Times New Roman"/>
                    </w:rPr>
                    <w:t>，布置有破碎机、筛分机等。</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新建，其中皮带运</w:t>
                  </w:r>
                </w:p>
                <w:p>
                  <w:pPr>
                    <w:jc w:val="center"/>
                    <w:rPr>
                      <w:rFonts w:ascii="Times New Roman" w:hAnsi="Times New Roman" w:cs="Times New Roman"/>
                      <w:bCs/>
                      <w:szCs w:val="21"/>
                    </w:rPr>
                  </w:pPr>
                  <w:r>
                    <w:rPr>
                      <w:rFonts w:hint="eastAsia" w:ascii="Times New Roman" w:hAnsi="Times New Roman" w:cs="Times New Roman"/>
                      <w:bCs/>
                      <w:szCs w:val="21"/>
                    </w:rPr>
                    <w:t>输采用封闭式走廊运输，破碎和筛分区全封闭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hint="eastAsia" w:ascii="Times New Roman" w:hAnsi="Times New Roman" w:cs="Times New Roman"/>
                    </w:rPr>
                    <w:t>石材原料和产品车间</w:t>
                  </w:r>
                </w:p>
              </w:tc>
              <w:tc>
                <w:tcPr>
                  <w:tcW w:w="4820" w:type="dxa"/>
                  <w:gridSpan w:val="2"/>
                  <w:vAlign w:val="center"/>
                </w:tcPr>
                <w:p>
                  <w:pPr>
                    <w:jc w:val="center"/>
                    <w:rPr>
                      <w:rFonts w:ascii="Times New Roman" w:hAnsi="Times New Roman" w:cs="Times New Roman"/>
                    </w:rPr>
                  </w:pPr>
                  <w:r>
                    <w:rPr>
                      <w:rFonts w:hint="eastAsia" w:ascii="Times New Roman" w:hAnsi="Times New Roman" w:cs="Times New Roman"/>
                      <w:bCs/>
                      <w:szCs w:val="21"/>
                    </w:rPr>
                    <w:t>1F，</w:t>
                  </w:r>
                  <w:r>
                    <w:rPr>
                      <w:rFonts w:hint="eastAsia" w:ascii="Times New Roman" w:hAnsi="Times New Roman" w:cs="Times New Roman"/>
                    </w:rPr>
                    <w:t>钢结构，50m×30m，</w:t>
                  </w:r>
                  <w:r>
                    <w:rPr>
                      <w:rFonts w:hint="eastAsia" w:ascii="Times New Roman" w:hAnsi="Times New Roman" w:cs="Times New Roman"/>
                      <w:bCs/>
                      <w:szCs w:val="21"/>
                    </w:rPr>
                    <w:t>建筑</w:t>
                  </w:r>
                  <w:r>
                    <w:rPr>
                      <w:rFonts w:ascii="Times New Roman" w:hAnsi="Times New Roman" w:cs="Times New Roman"/>
                      <w:bCs/>
                      <w:szCs w:val="21"/>
                    </w:rPr>
                    <w:t>面积</w:t>
                  </w:r>
                  <w:r>
                    <w:rPr>
                      <w:rFonts w:hint="eastAsia" w:ascii="Times New Roman" w:hAnsi="Times New Roman" w:cs="Times New Roman"/>
                      <w:szCs w:val="21"/>
                    </w:rPr>
                    <w:t>1500</w:t>
                  </w:r>
                  <w:r>
                    <w:rPr>
                      <w:rFonts w:ascii="Times New Roman" w:hAnsi="Times New Roman" w:cs="Times New Roman"/>
                      <w:szCs w:val="21"/>
                    </w:rPr>
                    <w:t>m</w:t>
                  </w:r>
                  <w:r>
                    <w:rPr>
                      <w:rFonts w:ascii="Times New Roman" w:hAnsi="Times New Roman" w:cs="Times New Roman"/>
                      <w:szCs w:val="21"/>
                      <w:vertAlign w:val="superscript"/>
                    </w:rPr>
                    <w:t>2</w:t>
                  </w:r>
                  <w:r>
                    <w:rPr>
                      <w:rFonts w:hint="eastAsia" w:ascii="Times New Roman" w:hAnsi="Times New Roman" w:cs="Times New Roman"/>
                    </w:rPr>
                    <w:t>，用于对堆放石材加工原料和石板成品。</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rPr>
                    <w:t>新建，钢结构密闭厂房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hint="eastAsia" w:ascii="Times New Roman" w:hAnsi="Times New Roman" w:cs="Times New Roman"/>
                    </w:rPr>
                    <w:t>砂石堆场</w:t>
                  </w:r>
                </w:p>
              </w:tc>
              <w:tc>
                <w:tcPr>
                  <w:tcW w:w="4820" w:type="dxa"/>
                  <w:gridSpan w:val="2"/>
                  <w:vAlign w:val="center"/>
                </w:tcPr>
                <w:p>
                  <w:pPr>
                    <w:jc w:val="center"/>
                    <w:rPr>
                      <w:rFonts w:ascii="Times New Roman" w:hAnsi="Times New Roman" w:cs="Times New Roman"/>
                      <w:bCs/>
                      <w:szCs w:val="21"/>
                    </w:rPr>
                  </w:pPr>
                  <w:r>
                    <w:rPr>
                      <w:rFonts w:hint="eastAsia" w:ascii="Times New Roman" w:hAnsi="Times New Roman" w:cs="Times New Roman"/>
                      <w:bCs/>
                      <w:szCs w:val="21"/>
                    </w:rPr>
                    <w:t>1F，</w:t>
                  </w:r>
                  <w:r>
                    <w:rPr>
                      <w:rFonts w:hint="eastAsia" w:ascii="Times New Roman" w:hAnsi="Times New Roman" w:cs="Times New Roman"/>
                    </w:rPr>
                    <w:t>钢结构，50m×10m，</w:t>
                  </w:r>
                  <w:r>
                    <w:rPr>
                      <w:rFonts w:hint="eastAsia" w:ascii="Times New Roman" w:hAnsi="Times New Roman" w:cs="Times New Roman"/>
                      <w:bCs/>
                      <w:szCs w:val="21"/>
                    </w:rPr>
                    <w:t>建筑</w:t>
                  </w:r>
                  <w:r>
                    <w:rPr>
                      <w:rFonts w:ascii="Times New Roman" w:hAnsi="Times New Roman" w:cs="Times New Roman"/>
                      <w:bCs/>
                      <w:szCs w:val="21"/>
                    </w:rPr>
                    <w:t>面积</w:t>
                  </w:r>
                  <w:r>
                    <w:rPr>
                      <w:rFonts w:hint="eastAsia" w:ascii="Times New Roman" w:hAnsi="Times New Roman" w:cs="Times New Roman"/>
                      <w:szCs w:val="21"/>
                    </w:rPr>
                    <w:t>500</w:t>
                  </w:r>
                  <w:r>
                    <w:rPr>
                      <w:rFonts w:ascii="Times New Roman" w:hAnsi="Times New Roman" w:cs="Times New Roman"/>
                      <w:szCs w:val="21"/>
                    </w:rPr>
                    <w:t>m</w:t>
                  </w:r>
                  <w:r>
                    <w:rPr>
                      <w:rFonts w:ascii="Times New Roman" w:hAnsi="Times New Roman" w:cs="Times New Roman"/>
                      <w:szCs w:val="21"/>
                      <w:vertAlign w:val="superscript"/>
                    </w:rPr>
                    <w:t>2</w:t>
                  </w:r>
                  <w:r>
                    <w:rPr>
                      <w:rFonts w:hint="eastAsia" w:ascii="Times New Roman" w:hAnsi="Times New Roman" w:cs="Times New Roman"/>
                    </w:rPr>
                    <w:t>，用于对堆放砂石生产原料和砂石成品。</w:t>
                  </w:r>
                </w:p>
              </w:tc>
              <w:tc>
                <w:tcPr>
                  <w:tcW w:w="1834" w:type="dxa"/>
                  <w:vAlign w:val="center"/>
                </w:tcPr>
                <w:p>
                  <w:pPr>
                    <w:jc w:val="center"/>
                    <w:rPr>
                      <w:rFonts w:ascii="Times New Roman" w:hAnsi="Times New Roman" w:cs="Times New Roman"/>
                    </w:rPr>
                  </w:pPr>
                  <w:r>
                    <w:rPr>
                      <w:rFonts w:hint="eastAsia" w:ascii="Times New Roman" w:hAnsi="Times New Roman" w:cs="Times New Roman"/>
                    </w:rPr>
                    <w:t>新建，钢结构厂房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Align w:val="center"/>
                </w:tcPr>
                <w:p>
                  <w:pPr>
                    <w:jc w:val="center"/>
                    <w:rPr>
                      <w:rFonts w:ascii="Times New Roman" w:hAnsi="Times New Roman" w:cs="Times New Roman"/>
                    </w:rPr>
                  </w:pPr>
                  <w:r>
                    <w:rPr>
                      <w:rFonts w:ascii="Times New Roman" w:hAnsi="Times New Roman" w:cs="Times New Roman"/>
                    </w:rPr>
                    <w:t>辅助工程</w:t>
                  </w:r>
                </w:p>
              </w:tc>
              <w:tc>
                <w:tcPr>
                  <w:tcW w:w="1452" w:type="dxa"/>
                  <w:vAlign w:val="center"/>
                </w:tcPr>
                <w:p>
                  <w:pPr>
                    <w:jc w:val="center"/>
                    <w:rPr>
                      <w:rFonts w:ascii="Times New Roman" w:hAnsi="Times New Roman" w:cs="Times New Roman"/>
                    </w:rPr>
                  </w:pPr>
                  <w:r>
                    <w:rPr>
                      <w:rFonts w:hint="eastAsia" w:ascii="Times New Roman" w:hAnsi="Times New Roman" w:cs="Times New Roman"/>
                    </w:rPr>
                    <w:t>办公及辅助用房</w:t>
                  </w:r>
                </w:p>
              </w:tc>
              <w:tc>
                <w:tcPr>
                  <w:tcW w:w="4820" w:type="dxa"/>
                  <w:gridSpan w:val="2"/>
                  <w:vAlign w:val="center"/>
                </w:tcPr>
                <w:p>
                  <w:pPr>
                    <w:jc w:val="center"/>
                    <w:rPr>
                      <w:rFonts w:ascii="Times New Roman" w:hAnsi="Times New Roman" w:cs="Times New Roman"/>
                      <w:bCs/>
                      <w:szCs w:val="21"/>
                    </w:rPr>
                  </w:pPr>
                  <w:r>
                    <w:rPr>
                      <w:rFonts w:ascii="Times New Roman" w:hAnsi="Times New Roman" w:cs="Times New Roman"/>
                      <w:bCs/>
                      <w:szCs w:val="21"/>
                    </w:rPr>
                    <w:t>1栋</w:t>
                  </w:r>
                  <w:r>
                    <w:rPr>
                      <w:rFonts w:hint="eastAsia" w:ascii="Times New Roman" w:hAnsi="Times New Roman" w:cs="Times New Roman"/>
                      <w:bCs/>
                      <w:szCs w:val="21"/>
                    </w:rPr>
                    <w:t>，1F，砖混结构，</w:t>
                  </w:r>
                  <w:r>
                    <w:rPr>
                      <w:rFonts w:hint="eastAsia" w:ascii="Times New Roman" w:hAnsi="Times New Roman" w:cs="Times New Roman"/>
                    </w:rPr>
                    <w:t>建筑面积</w:t>
                  </w:r>
                  <w:r>
                    <w:rPr>
                      <w:rFonts w:hint="eastAsia" w:ascii="Times New Roman" w:hAnsi="Times New Roman" w:cs="Times New Roman"/>
                      <w:szCs w:val="21"/>
                    </w:rPr>
                    <w:t>300</w:t>
                  </w:r>
                  <w:r>
                    <w:rPr>
                      <w:rFonts w:ascii="Times New Roman" w:hAnsi="Times New Roman" w:cs="Times New Roman"/>
                      <w:szCs w:val="21"/>
                    </w:rPr>
                    <w:t>m</w:t>
                  </w:r>
                  <w:r>
                    <w:rPr>
                      <w:rFonts w:ascii="Times New Roman" w:hAnsi="Times New Roman" w:cs="Times New Roman"/>
                      <w:szCs w:val="21"/>
                      <w:vertAlign w:val="superscript"/>
                    </w:rPr>
                    <w:t>2</w:t>
                  </w:r>
                  <w:r>
                    <w:rPr>
                      <w:rFonts w:hint="eastAsia" w:ascii="Times New Roman" w:hAnsi="Times New Roman" w:cs="Times New Roman"/>
                      <w:szCs w:val="21"/>
                    </w:rPr>
                    <w:t>，位于生产区南部，包括办公室，值班室、过磅房、机修间等</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restart"/>
                  <w:vAlign w:val="center"/>
                </w:tcPr>
                <w:p>
                  <w:pPr>
                    <w:jc w:val="center"/>
                    <w:rPr>
                      <w:rFonts w:ascii="Times New Roman" w:hAnsi="Times New Roman" w:cs="Times New Roman"/>
                    </w:rPr>
                  </w:pPr>
                  <w:r>
                    <w:rPr>
                      <w:rFonts w:ascii="Times New Roman" w:hAnsi="Times New Roman" w:cs="Times New Roman"/>
                    </w:rPr>
                    <w:t>公用</w:t>
                  </w:r>
                </w:p>
                <w:p>
                  <w:pPr>
                    <w:jc w:val="center"/>
                    <w:rPr>
                      <w:rFonts w:ascii="Times New Roman" w:hAnsi="Times New Roman" w:cs="Times New Roman"/>
                    </w:rPr>
                  </w:pPr>
                  <w:r>
                    <w:rPr>
                      <w:rFonts w:ascii="Times New Roman" w:hAnsi="Times New Roman" w:cs="Times New Roman"/>
                    </w:rPr>
                    <w:t>工程</w:t>
                  </w:r>
                </w:p>
              </w:tc>
              <w:tc>
                <w:tcPr>
                  <w:tcW w:w="1452" w:type="dxa"/>
                  <w:vAlign w:val="center"/>
                </w:tcPr>
                <w:p>
                  <w:pPr>
                    <w:jc w:val="center"/>
                    <w:rPr>
                      <w:rFonts w:ascii="Times New Roman" w:hAnsi="Times New Roman" w:cs="Times New Roman"/>
                    </w:rPr>
                  </w:pPr>
                  <w:r>
                    <w:rPr>
                      <w:rFonts w:ascii="Times New Roman" w:hAnsi="Times New Roman" w:cs="Times New Roman"/>
                    </w:rPr>
                    <w:t>给水</w:t>
                  </w:r>
                </w:p>
              </w:tc>
              <w:tc>
                <w:tcPr>
                  <w:tcW w:w="6654" w:type="dxa"/>
                  <w:gridSpan w:val="3"/>
                  <w:vAlign w:val="center"/>
                </w:tcPr>
                <w:p>
                  <w:pPr>
                    <w:jc w:val="center"/>
                    <w:rPr>
                      <w:rFonts w:ascii="Times New Roman" w:hAnsi="Times New Roman" w:cs="Times New Roman"/>
                      <w:bCs/>
                      <w:szCs w:val="21"/>
                    </w:rPr>
                  </w:pPr>
                  <w:r>
                    <w:rPr>
                      <w:rFonts w:hint="eastAsia" w:ascii="Times New Roman" w:hAnsi="Times New Roman" w:cs="Times New Roman"/>
                    </w:rPr>
                    <w:t>来源于区域自来水。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hint="eastAsia" w:ascii="Times New Roman" w:hAnsi="Times New Roman" w:cs="Times New Roman"/>
                    </w:rPr>
                    <w:t>排水</w:t>
                  </w:r>
                </w:p>
              </w:tc>
              <w:tc>
                <w:tcPr>
                  <w:tcW w:w="6654" w:type="dxa"/>
                  <w:gridSpan w:val="3"/>
                  <w:vAlign w:val="center"/>
                </w:tcPr>
                <w:p>
                  <w:pPr>
                    <w:jc w:val="center"/>
                    <w:rPr>
                      <w:rFonts w:ascii="Times New Roman" w:hAnsi="Times New Roman" w:cs="Times New Roman"/>
                      <w:bCs/>
                      <w:szCs w:val="21"/>
                    </w:rPr>
                  </w:pPr>
                  <w:r>
                    <w:rPr>
                      <w:rFonts w:hint="eastAsia" w:ascii="Times New Roman" w:hAnsi="Times New Roman" w:cs="Times New Roman"/>
                    </w:rPr>
                    <w:t>厂区实行雨污分流系统，生产废水回用于生产；雨水经截排水沟收集处理后外排。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ascii="Times New Roman" w:hAnsi="Times New Roman" w:cs="Times New Roman"/>
                    </w:rPr>
                    <w:t>供电</w:t>
                  </w:r>
                </w:p>
              </w:tc>
              <w:tc>
                <w:tcPr>
                  <w:tcW w:w="6654" w:type="dxa"/>
                  <w:gridSpan w:val="3"/>
                  <w:vAlign w:val="center"/>
                </w:tcPr>
                <w:p>
                  <w:pPr>
                    <w:jc w:val="center"/>
                    <w:rPr>
                      <w:rFonts w:ascii="Times New Roman" w:hAnsi="Times New Roman" w:cs="Times New Roman"/>
                      <w:szCs w:val="21"/>
                    </w:rPr>
                  </w:pPr>
                  <w:r>
                    <w:rPr>
                      <w:rFonts w:hint="eastAsia" w:ascii="Times New Roman" w:hAnsi="Times New Roman" w:cs="Times New Roman"/>
                    </w:rPr>
                    <w:t>由区域公共电网供应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restart"/>
                  <w:vAlign w:val="center"/>
                </w:tcPr>
                <w:p>
                  <w:pPr>
                    <w:jc w:val="center"/>
                    <w:rPr>
                      <w:rFonts w:ascii="Times New Roman" w:hAnsi="Times New Roman" w:cs="Times New Roman"/>
                    </w:rPr>
                  </w:pPr>
                  <w:r>
                    <w:rPr>
                      <w:rFonts w:ascii="Times New Roman" w:hAnsi="Times New Roman" w:cs="Times New Roman"/>
                    </w:rPr>
                    <w:t>环保工程</w:t>
                  </w:r>
                </w:p>
              </w:tc>
              <w:tc>
                <w:tcPr>
                  <w:tcW w:w="1452" w:type="dxa"/>
                  <w:vAlign w:val="center"/>
                </w:tcPr>
                <w:p>
                  <w:pPr>
                    <w:jc w:val="center"/>
                    <w:rPr>
                      <w:rFonts w:ascii="Times New Roman" w:hAnsi="Times New Roman" w:cs="Times New Roman"/>
                    </w:rPr>
                  </w:pPr>
                  <w:r>
                    <w:rPr>
                      <w:rFonts w:ascii="Times New Roman" w:hAnsi="Times New Roman" w:cs="Times New Roman"/>
                    </w:rPr>
                    <w:t>废水治理</w:t>
                  </w:r>
                </w:p>
              </w:tc>
              <w:tc>
                <w:tcPr>
                  <w:tcW w:w="4820" w:type="dxa"/>
                  <w:gridSpan w:val="2"/>
                  <w:vAlign w:val="center"/>
                </w:tcPr>
                <w:p>
                  <w:pPr>
                    <w:ind w:firstLine="420" w:firstLineChars="200"/>
                    <w:jc w:val="left"/>
                    <w:rPr>
                      <w:rFonts w:ascii="Times New Roman" w:hAnsi="Times New Roman" w:cs="Times New Roman"/>
                      <w:szCs w:val="21"/>
                    </w:rPr>
                  </w:pPr>
                  <w:r>
                    <w:rPr>
                      <w:rFonts w:hint="eastAsia" w:ascii="Times New Roman" w:hAnsi="Times New Roman" w:cs="Times New Roman"/>
                      <w:szCs w:val="21"/>
                    </w:rPr>
                    <w:t>生产废水处理系统（建设废水池、沉淀池、循环水池）、化粪池、洗车台等</w:t>
                  </w:r>
                </w:p>
              </w:tc>
              <w:tc>
                <w:tcPr>
                  <w:tcW w:w="1834" w:type="dxa"/>
                  <w:vAlign w:val="center"/>
                </w:tcPr>
                <w:p>
                  <w:pPr>
                    <w:jc w:val="center"/>
                    <w:rPr>
                      <w:rFonts w:ascii="Times New Roman" w:hAnsi="Times New Roman" w:cs="Times New Roman"/>
                      <w:szCs w:val="21"/>
                    </w:rPr>
                  </w:pPr>
                  <w:r>
                    <w:rPr>
                      <w:rFonts w:hint="eastAsia" w:ascii="Times New Roman" w:hAnsi="Times New Roman" w:cs="Times New Roman"/>
                      <w:szCs w:val="21"/>
                    </w:rPr>
                    <w:t>新建，钢筋混凝土结构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hint="eastAsia" w:ascii="Times New Roman" w:hAnsi="Times New Roman" w:cs="Times New Roman"/>
                    </w:rPr>
                    <w:t>废气治理</w:t>
                  </w:r>
                </w:p>
              </w:tc>
              <w:tc>
                <w:tcPr>
                  <w:tcW w:w="4820" w:type="dxa"/>
                  <w:gridSpan w:val="2"/>
                  <w:vAlign w:val="center"/>
                </w:tcPr>
                <w:p>
                  <w:pPr>
                    <w:jc w:val="center"/>
                    <w:rPr>
                      <w:rFonts w:ascii="Times New Roman" w:hAnsi="Times New Roman" w:cs="Times New Roman"/>
                      <w:szCs w:val="21"/>
                    </w:rPr>
                  </w:pPr>
                  <w:r>
                    <w:rPr>
                      <w:rFonts w:hint="eastAsia" w:ascii="Times New Roman" w:hAnsi="Times New Roman" w:cs="Times New Roman"/>
                      <w:szCs w:val="21"/>
                    </w:rPr>
                    <w:t>配备移动式抑尘雾炮机，负压集尘系统、布袋除尘器和排气筒、雾化喷头等。</w:t>
                  </w:r>
                </w:p>
              </w:tc>
              <w:tc>
                <w:tcPr>
                  <w:tcW w:w="1834" w:type="dxa"/>
                  <w:vAlign w:val="center"/>
                </w:tcPr>
                <w:p>
                  <w:pPr>
                    <w:jc w:val="center"/>
                    <w:rPr>
                      <w:rFonts w:ascii="Times New Roman" w:hAnsi="Times New Roman" w:cs="Times New Roman"/>
                      <w:szCs w:val="21"/>
                    </w:rPr>
                  </w:pPr>
                  <w:r>
                    <w:rPr>
                      <w:rFonts w:hint="eastAsia" w:ascii="Times New Roman" w:hAnsi="Times New Roman"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Align w:val="center"/>
                </w:tcPr>
                <w:p>
                  <w:pPr>
                    <w:jc w:val="center"/>
                    <w:rPr>
                      <w:rFonts w:ascii="Times New Roman" w:hAnsi="Times New Roman" w:cs="Times New Roman"/>
                    </w:rPr>
                  </w:pPr>
                  <w:r>
                    <w:rPr>
                      <w:rFonts w:ascii="Times New Roman" w:hAnsi="Times New Roman" w:cs="Times New Roman"/>
                    </w:rPr>
                    <w:t>噪声治理</w:t>
                  </w:r>
                </w:p>
              </w:tc>
              <w:tc>
                <w:tcPr>
                  <w:tcW w:w="4820" w:type="dxa"/>
                  <w:gridSpan w:val="2"/>
                  <w:vAlign w:val="center"/>
                </w:tcPr>
                <w:p>
                  <w:pPr>
                    <w:jc w:val="center"/>
                    <w:rPr>
                      <w:rFonts w:ascii="Times New Roman" w:hAnsi="Times New Roman" w:cs="Times New Roman"/>
                      <w:szCs w:val="21"/>
                    </w:rPr>
                  </w:pPr>
                  <w:r>
                    <w:rPr>
                      <w:rFonts w:ascii="Times New Roman" w:hAnsi="Times New Roman" w:cs="Times New Roman"/>
                    </w:rPr>
                    <w:t>选用低噪设备，</w:t>
                  </w:r>
                  <w:r>
                    <w:rPr>
                      <w:rFonts w:hint="eastAsia" w:ascii="Times New Roman" w:hAnsi="Times New Roman" w:cs="Times New Roman"/>
                    </w:rPr>
                    <w:t>对高噪设备进行封闭，通过厂房和围墙隔声、距离衰减降低噪声污染</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Merge w:val="restart"/>
                  <w:vAlign w:val="center"/>
                </w:tcPr>
                <w:p>
                  <w:pPr>
                    <w:jc w:val="center"/>
                    <w:rPr>
                      <w:rFonts w:ascii="Times New Roman" w:hAnsi="Times New Roman" w:cs="Times New Roman"/>
                    </w:rPr>
                  </w:pPr>
                  <w:r>
                    <w:rPr>
                      <w:rFonts w:ascii="Times New Roman" w:hAnsi="Times New Roman" w:cs="Times New Roman"/>
                    </w:rPr>
                    <w:t>固体废物</w:t>
                  </w:r>
                </w:p>
              </w:tc>
              <w:tc>
                <w:tcPr>
                  <w:tcW w:w="1134" w:type="dxa"/>
                  <w:vAlign w:val="center"/>
                </w:tcPr>
                <w:p>
                  <w:pPr>
                    <w:jc w:val="center"/>
                    <w:rPr>
                      <w:rFonts w:ascii="Times New Roman" w:hAnsi="Times New Roman" w:cs="Times New Roman"/>
                    </w:rPr>
                  </w:pPr>
                  <w:r>
                    <w:rPr>
                      <w:rFonts w:hint="eastAsia" w:ascii="Times New Roman" w:hAnsi="Times New Roman" w:cs="Times New Roman"/>
                    </w:rPr>
                    <w:t>生活垃圾</w:t>
                  </w:r>
                </w:p>
              </w:tc>
              <w:tc>
                <w:tcPr>
                  <w:tcW w:w="3686" w:type="dxa"/>
                  <w:vAlign w:val="center"/>
                </w:tcPr>
                <w:p>
                  <w:pPr>
                    <w:jc w:val="center"/>
                    <w:rPr>
                      <w:rFonts w:ascii="Times New Roman" w:hAnsi="Times New Roman" w:cs="Times New Roman"/>
                      <w:szCs w:val="21"/>
                    </w:rPr>
                  </w:pPr>
                  <w:r>
                    <w:rPr>
                      <w:rFonts w:hint="eastAsia" w:ascii="Times New Roman" w:hAnsi="Times New Roman" w:cs="Times New Roman"/>
                    </w:rPr>
                    <w:t>厂区设置垃圾桶，生活垃圾交由环卫部门统一清运</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Merge w:val="continue"/>
                  <w:vAlign w:val="center"/>
                </w:tcPr>
                <w:p>
                  <w:pPr>
                    <w:jc w:val="center"/>
                    <w:rPr>
                      <w:rFonts w:ascii="Times New Roman" w:hAnsi="Times New Roman" w:cs="Times New Roman"/>
                    </w:rPr>
                  </w:pPr>
                </w:p>
              </w:tc>
              <w:tc>
                <w:tcPr>
                  <w:tcW w:w="1134" w:type="dxa"/>
                  <w:vAlign w:val="center"/>
                </w:tcPr>
                <w:p>
                  <w:pPr>
                    <w:jc w:val="center"/>
                    <w:rPr>
                      <w:rFonts w:ascii="Times New Roman" w:hAnsi="Times New Roman" w:cs="Times New Roman"/>
                    </w:rPr>
                  </w:pPr>
                  <w:r>
                    <w:rPr>
                      <w:rFonts w:hint="eastAsia" w:ascii="Times New Roman" w:hAnsi="Times New Roman" w:cs="Times New Roman"/>
                    </w:rPr>
                    <w:t>一般工业固废</w:t>
                  </w:r>
                </w:p>
              </w:tc>
              <w:tc>
                <w:tcPr>
                  <w:tcW w:w="3686" w:type="dxa"/>
                  <w:vAlign w:val="center"/>
                </w:tcPr>
                <w:p>
                  <w:pPr>
                    <w:rPr>
                      <w:rFonts w:ascii="Times New Roman" w:hAnsi="Times New Roman" w:cs="Times New Roman"/>
                      <w:szCs w:val="21"/>
                    </w:rPr>
                  </w:pPr>
                  <w:r>
                    <w:rPr>
                      <w:rFonts w:hint="eastAsia" w:ascii="Times New Roman" w:hAnsi="Times New Roman" w:cs="Times New Roman"/>
                    </w:rPr>
                    <w:t>建设一般固废暂存区，石材加工生产线产生的边角料转移至砂石生产车间制砂，沉淀池沉渣（主要成分为石粉）和废刀片外售综合利用。</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09" w:type="dxa"/>
                  <w:vMerge w:val="continue"/>
                  <w:vAlign w:val="center"/>
                </w:tcPr>
                <w:p>
                  <w:pPr>
                    <w:jc w:val="center"/>
                    <w:rPr>
                      <w:rFonts w:ascii="Times New Roman" w:hAnsi="Times New Roman" w:cs="Times New Roman"/>
                    </w:rPr>
                  </w:pPr>
                </w:p>
              </w:tc>
              <w:tc>
                <w:tcPr>
                  <w:tcW w:w="1452" w:type="dxa"/>
                  <w:vMerge w:val="continue"/>
                  <w:vAlign w:val="center"/>
                </w:tcPr>
                <w:p>
                  <w:pPr>
                    <w:jc w:val="center"/>
                    <w:rPr>
                      <w:rFonts w:ascii="Times New Roman" w:hAnsi="Times New Roman" w:cs="Times New Roman"/>
                    </w:rPr>
                  </w:pPr>
                </w:p>
              </w:tc>
              <w:tc>
                <w:tcPr>
                  <w:tcW w:w="1134" w:type="dxa"/>
                  <w:vAlign w:val="center"/>
                </w:tcPr>
                <w:p>
                  <w:pPr>
                    <w:jc w:val="center"/>
                    <w:rPr>
                      <w:rFonts w:ascii="Times New Roman" w:hAnsi="Times New Roman" w:cs="Times New Roman"/>
                    </w:rPr>
                  </w:pPr>
                  <w:r>
                    <w:rPr>
                      <w:rFonts w:hint="eastAsia" w:ascii="Times New Roman" w:hAnsi="Times New Roman" w:cs="Times New Roman"/>
                    </w:rPr>
                    <w:t>危险废物</w:t>
                  </w:r>
                </w:p>
              </w:tc>
              <w:tc>
                <w:tcPr>
                  <w:tcW w:w="3686" w:type="dxa"/>
                  <w:vAlign w:val="center"/>
                </w:tcPr>
                <w:p>
                  <w:pPr>
                    <w:rPr>
                      <w:rFonts w:ascii="Times New Roman" w:hAnsi="Times New Roman" w:cs="Times New Roman"/>
                      <w:szCs w:val="21"/>
                    </w:rPr>
                  </w:pPr>
                  <w:r>
                    <w:rPr>
                      <w:rFonts w:hint="eastAsia" w:ascii="Times New Roman" w:hAnsi="Times New Roman" w:cs="Times New Roman"/>
                    </w:rPr>
                    <w:t>设置危险废物暂存间（位于生产厂区南侧办公辅助用房内，20m</w:t>
                  </w:r>
                  <w:r>
                    <w:rPr>
                      <w:rFonts w:hint="eastAsia" w:ascii="Times New Roman" w:hAnsi="Times New Roman" w:cs="Times New Roman"/>
                      <w:vertAlign w:val="superscript"/>
                    </w:rPr>
                    <w:t>2</w:t>
                  </w:r>
                  <w:r>
                    <w:rPr>
                      <w:rFonts w:hint="eastAsia" w:ascii="Times New Roman" w:hAnsi="Times New Roman" w:cs="Times New Roman"/>
                    </w:rPr>
                    <w:t>），废润滑油等危险废物定期交由有资质单位处置。</w:t>
                  </w:r>
                </w:p>
              </w:tc>
              <w:tc>
                <w:tcPr>
                  <w:tcW w:w="1834"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新建</w:t>
                  </w:r>
                </w:p>
              </w:tc>
            </w:tr>
          </w:tbl>
          <w:p>
            <w:pPr>
              <w:pStyle w:val="38"/>
              <w:spacing w:before="156"/>
              <w:rPr>
                <w:color w:val="auto"/>
              </w:rPr>
            </w:pPr>
            <w:bookmarkStart w:id="22" w:name="_Ref495930365"/>
            <w:bookmarkEnd w:id="22"/>
            <w:bookmarkStart w:id="23" w:name="_Ref492653732"/>
            <w:r>
              <w:rPr>
                <w:rFonts w:hint="eastAsia"/>
                <w:color w:val="auto"/>
              </w:rPr>
              <w:t>表1-</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ascii="宋体" w:hAnsi="宋体"/>
                <w:color w:val="auto"/>
              </w:rPr>
              <w:t>主要经济技术指标</w:t>
            </w:r>
            <w:r>
              <w:rPr>
                <w:rFonts w:ascii="宋体" w:hAnsi="宋体"/>
                <w:color w:val="auto"/>
              </w:rPr>
              <w:t>一览表</w:t>
            </w:r>
          </w:p>
          <w:tbl>
            <w:tblPr>
              <w:tblStyle w:val="25"/>
              <w:tblW w:w="8926" w:type="dxa"/>
              <w:tblInd w:w="0" w:type="dxa"/>
              <w:tblLayout w:type="fixed"/>
              <w:tblCellMar>
                <w:top w:w="0" w:type="dxa"/>
                <w:left w:w="108" w:type="dxa"/>
                <w:bottom w:w="0" w:type="dxa"/>
                <w:right w:w="108" w:type="dxa"/>
              </w:tblCellMar>
            </w:tblPr>
            <w:tblGrid>
              <w:gridCol w:w="708"/>
              <w:gridCol w:w="3256"/>
              <w:gridCol w:w="1843"/>
              <w:gridCol w:w="1559"/>
              <w:gridCol w:w="1560"/>
            </w:tblGrid>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
                      <w:bCs/>
                      <w:szCs w:val="21"/>
                    </w:rPr>
                  </w:pPr>
                  <w:r>
                    <w:rPr>
                      <w:rFonts w:ascii="Times New Roman" w:hAnsi="Times New Roman"/>
                      <w:b/>
                      <w:bCs/>
                    </w:rPr>
                    <w:t>序号</w:t>
                  </w:r>
                </w:p>
              </w:tc>
              <w:tc>
                <w:tcPr>
                  <w:tcW w:w="32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b/>
                      <w:bCs/>
                      <w:szCs w:val="21"/>
                    </w:rPr>
                  </w:pPr>
                  <w:r>
                    <w:rPr>
                      <w:rFonts w:hint="eastAsia" w:ascii="Times New Roman" w:hAnsi="Times New Roman"/>
                      <w:b/>
                      <w:bCs/>
                    </w:rPr>
                    <w:t>项目</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b/>
                      <w:bCs/>
                      <w:szCs w:val="21"/>
                    </w:rPr>
                  </w:pPr>
                  <w:r>
                    <w:rPr>
                      <w:rFonts w:hint="eastAsia" w:ascii="Times New Roman" w:hAnsi="Times New Roman"/>
                      <w:b/>
                      <w:bCs/>
                    </w:rPr>
                    <w:t>数量</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b/>
                      <w:bCs/>
                      <w:szCs w:val="21"/>
                    </w:rPr>
                  </w:pPr>
                  <w:r>
                    <w:rPr>
                      <w:rFonts w:hint="eastAsia" w:ascii="Times New Roman" w:hAnsi="Times New Roman"/>
                      <w:b/>
                      <w:bCs/>
                    </w:rPr>
                    <w:t>单位</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b/>
                      <w:bCs/>
                      <w:szCs w:val="21"/>
                    </w:rPr>
                  </w:pPr>
                  <w:r>
                    <w:rPr>
                      <w:rFonts w:hint="eastAsia" w:ascii="Times New Roman" w:hAnsi="Times New Roman"/>
                      <w:b/>
                      <w:bCs/>
                    </w:rPr>
                    <w:t>备注</w:t>
                  </w: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right w:val="single" w:color="auto" w:sz="4" w:space="0"/>
                  </w:tcBorders>
                  <w:vAlign w:val="center"/>
                </w:tcPr>
                <w:p>
                  <w:pPr>
                    <w:jc w:val="center"/>
                    <w:rPr>
                      <w:rFonts w:ascii="Times New Roman" w:hAnsi="Times New Roman" w:eastAsia="宋体"/>
                      <w:szCs w:val="21"/>
                    </w:rPr>
                  </w:pPr>
                  <w:r>
                    <w:rPr>
                      <w:rFonts w:hint="eastAsia" w:ascii="Times New Roman" w:hAnsi="Times New Roman"/>
                    </w:rPr>
                    <w:t>占地面积</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6400</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m</w:t>
                  </w:r>
                  <w:r>
                    <w:rPr>
                      <w:rFonts w:hint="eastAsia" w:ascii="Times New Roman" w:hAnsi="Times New Roman"/>
                      <w:vertAlign w:val="superscript"/>
                    </w:rPr>
                    <w:t>2</w:t>
                  </w:r>
                </w:p>
              </w:tc>
              <w:tc>
                <w:tcPr>
                  <w:tcW w:w="1560" w:type="dxa"/>
                  <w:tcBorders>
                    <w:top w:val="single" w:color="auto" w:sz="4" w:space="0"/>
                    <w:left w:val="nil"/>
                    <w:right w:val="single" w:color="auto" w:sz="4" w:space="0"/>
                  </w:tcBorders>
                  <w:vAlign w:val="center"/>
                </w:tcPr>
                <w:p>
                  <w:pPr>
                    <w:jc w:val="center"/>
                    <w:rPr>
                      <w:rFonts w:ascii="Times New Roman" w:hAnsi="Times New Roman" w:eastAsia="宋体"/>
                      <w:szCs w:val="21"/>
                    </w:rPr>
                  </w:pP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right w:val="single" w:color="auto" w:sz="4" w:space="0"/>
                  </w:tcBorders>
                  <w:vAlign w:val="center"/>
                </w:tcPr>
                <w:p>
                  <w:pPr>
                    <w:jc w:val="center"/>
                    <w:rPr>
                      <w:rFonts w:ascii="Times New Roman" w:hAnsi="Times New Roman" w:eastAsia="宋体"/>
                      <w:szCs w:val="21"/>
                    </w:rPr>
                  </w:pPr>
                  <w:r>
                    <w:rPr>
                      <w:rFonts w:hint="eastAsia" w:ascii="Times New Roman" w:hAnsi="Times New Roman"/>
                    </w:rPr>
                    <w:t>建筑面积</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4800</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m</w:t>
                  </w:r>
                  <w:r>
                    <w:rPr>
                      <w:rFonts w:hint="eastAsia" w:ascii="Times New Roman" w:hAnsi="Times New Roman"/>
                      <w:vertAlign w:val="superscript"/>
                    </w:rPr>
                    <w:t>2</w:t>
                  </w:r>
                </w:p>
              </w:tc>
              <w:tc>
                <w:tcPr>
                  <w:tcW w:w="1560" w:type="dxa"/>
                  <w:tcBorders>
                    <w:top w:val="single" w:color="auto" w:sz="4" w:space="0"/>
                    <w:left w:val="nil"/>
                    <w:right w:val="single" w:color="auto" w:sz="4" w:space="0"/>
                  </w:tcBorders>
                  <w:vAlign w:val="center"/>
                </w:tcPr>
                <w:p>
                  <w:pPr>
                    <w:jc w:val="center"/>
                    <w:rPr>
                      <w:rFonts w:ascii="Times New Roman" w:hAnsi="Times New Roman" w:eastAsia="宋体"/>
                      <w:szCs w:val="21"/>
                    </w:rPr>
                  </w:pP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项目总投资</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1000</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万元</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环保投资</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97</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rPr>
                    <w:t>万元</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劳动定员</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10</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人</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pStyle w:val="57"/>
                    <w:numPr>
                      <w:ilvl w:val="0"/>
                      <w:numId w:val="3"/>
                    </w:numPr>
                    <w:ind w:firstLineChars="0"/>
                    <w:jc w:val="center"/>
                    <w:rPr>
                      <w:rFonts w:ascii="Times New Roman" w:hAnsi="Times New Roman"/>
                    </w:rPr>
                  </w:pPr>
                </w:p>
              </w:tc>
              <w:tc>
                <w:tcPr>
                  <w:tcW w:w="3256"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年生产时间</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300</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天</w:t>
                  </w:r>
                </w:p>
              </w:tc>
              <w:tc>
                <w:tcPr>
                  <w:tcW w:w="156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szCs w:val="21"/>
                    </w:rPr>
                  </w:pPr>
                  <w:r>
                    <w:rPr>
                      <w:rFonts w:hint="eastAsia" w:ascii="Times New Roman" w:hAnsi="Times New Roman" w:eastAsia="宋体"/>
                      <w:szCs w:val="21"/>
                    </w:rPr>
                    <w:t>10小时工作制</w:t>
                  </w:r>
                </w:p>
              </w:tc>
            </w:tr>
          </w:tbl>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1.5主要生产设备</w:t>
            </w:r>
          </w:p>
          <w:p>
            <w:pPr>
              <w:autoSpaceDE w:val="0"/>
              <w:autoSpaceDN w:val="0"/>
              <w:adjustRightInd w:val="0"/>
              <w:spacing w:line="360" w:lineRule="auto"/>
              <w:ind w:firstLine="480" w:firstLineChars="200"/>
              <w:jc w:val="left"/>
              <w:rPr>
                <w:rFonts w:ascii="Times New Roman" w:hAnsi="Times New Roman" w:cs="Times New Roman"/>
                <w:kern w:val="0"/>
                <w:sz w:val="24"/>
              </w:rPr>
            </w:pPr>
            <w:r>
              <w:rPr>
                <w:rFonts w:hint="eastAsia" w:ascii="Times New Roman" w:hAnsi="Times New Roman" w:cs="Times New Roman"/>
                <w:kern w:val="0"/>
                <w:sz w:val="24"/>
              </w:rPr>
              <w:t>根据建设单位提供的资料，本项目主要生产设备如</w:t>
            </w:r>
            <w:r>
              <w:rPr>
                <w:rFonts w:ascii="Times New Roman" w:hAnsi="Times New Roman" w:cs="Times New Roman"/>
                <w:kern w:val="0"/>
                <w:sz w:val="24"/>
              </w:rPr>
              <w:fldChar w:fldCharType="begin"/>
            </w:r>
            <w:r>
              <w:rPr>
                <w:rFonts w:ascii="Times New Roman" w:hAnsi="Times New Roman" w:cs="Times New Roman"/>
                <w:kern w:val="0"/>
                <w:sz w:val="24"/>
              </w:rPr>
              <w:instrText xml:space="preserve"> </w:instrText>
            </w:r>
            <w:r>
              <w:rPr>
                <w:rFonts w:hint="eastAsia" w:ascii="Times New Roman" w:hAnsi="Times New Roman" w:cs="Times New Roman"/>
                <w:kern w:val="0"/>
                <w:sz w:val="24"/>
              </w:rPr>
              <w:instrText xml:space="preserve">REF _Ref494441480 \h</w:instrText>
            </w:r>
            <w:r>
              <w:rPr>
                <w:rFonts w:ascii="Times New Roman" w:hAnsi="Times New Roman" w:cs="Times New Roman"/>
                <w:kern w:val="0"/>
                <w:sz w:val="24"/>
              </w:rPr>
              <w:instrText xml:space="preserve">  \* MERGEFORMAT </w:instrText>
            </w:r>
            <w:r>
              <w:rPr>
                <w:rFonts w:ascii="Times New Roman" w:hAnsi="Times New Roman" w:cs="Times New Roman"/>
                <w:kern w:val="0"/>
                <w:sz w:val="24"/>
              </w:rPr>
              <w:fldChar w:fldCharType="separate"/>
            </w:r>
            <w:r>
              <w:rPr>
                <w:rFonts w:hint="eastAsia" w:ascii="Times New Roman" w:hAnsi="Times New Roman" w:cs="Times New Roman"/>
                <w:kern w:val="0"/>
                <w:sz w:val="24"/>
              </w:rPr>
              <w:t>表1-</w:t>
            </w:r>
            <w:r>
              <w:rPr>
                <w:rFonts w:ascii="Times New Roman" w:hAnsi="Times New Roman" w:cs="Times New Roman"/>
                <w:kern w:val="0"/>
                <w:sz w:val="24"/>
              </w:rPr>
              <w:t>3</w:t>
            </w:r>
            <w:r>
              <w:rPr>
                <w:rFonts w:ascii="Times New Roman" w:hAnsi="Times New Roman" w:cs="Times New Roman"/>
                <w:kern w:val="0"/>
                <w:sz w:val="24"/>
              </w:rPr>
              <w:fldChar w:fldCharType="end"/>
            </w:r>
            <w:r>
              <w:rPr>
                <w:rFonts w:hint="eastAsia" w:ascii="Times New Roman" w:hAnsi="Times New Roman" w:cs="Times New Roman"/>
                <w:kern w:val="0"/>
                <w:sz w:val="24"/>
              </w:rPr>
              <w:t>所示。</w:t>
            </w:r>
          </w:p>
          <w:p>
            <w:pPr>
              <w:pStyle w:val="38"/>
              <w:spacing w:before="156"/>
              <w:rPr>
                <w:color w:val="auto"/>
              </w:rPr>
            </w:pPr>
            <w:bookmarkStart w:id="24" w:name="_Ref494441480"/>
            <w:r>
              <w:rPr>
                <w:rFonts w:hint="eastAsia"/>
                <w:color w:val="auto"/>
              </w:rPr>
              <w:t>表1-</w:t>
            </w:r>
            <w:r>
              <w:rPr>
                <w:color w:val="auto"/>
              </w:rPr>
              <w:fldChar w:fldCharType="begin"/>
            </w:r>
            <w:r>
              <w:rPr>
                <w:color w:val="auto"/>
              </w:rPr>
              <w:instrText xml:space="preserve"> </w:instrText>
            </w:r>
            <w:r>
              <w:rPr>
                <w:rFonts w:hint="eastAsia"/>
                <w:color w:val="auto"/>
              </w:rPr>
              <w:instrText xml:space="preserve">SEQ 表1- \* ARABIC</w:instrText>
            </w:r>
            <w:r>
              <w:rPr>
                <w:color w:val="auto"/>
              </w:rPr>
              <w:instrText xml:space="preserve"> </w:instrText>
            </w:r>
            <w:r>
              <w:rPr>
                <w:color w:val="auto"/>
              </w:rPr>
              <w:fldChar w:fldCharType="separate"/>
            </w:r>
            <w:r>
              <w:rPr>
                <w:color w:val="auto"/>
              </w:rPr>
              <w:t>3</w:t>
            </w:r>
            <w:r>
              <w:rPr>
                <w:color w:val="auto"/>
              </w:rPr>
              <w:fldChar w:fldCharType="end"/>
            </w:r>
            <w:bookmarkEnd w:id="23"/>
            <w:bookmarkEnd w:id="24"/>
            <w:r>
              <w:rPr>
                <w:color w:val="auto"/>
              </w:rPr>
              <w:t xml:space="preserve">   项目主要</w:t>
            </w:r>
            <w:r>
              <w:rPr>
                <w:rFonts w:hint="eastAsia"/>
                <w:color w:val="auto"/>
              </w:rPr>
              <w:t>设备</w:t>
            </w:r>
            <w:r>
              <w:rPr>
                <w:color w:val="auto"/>
              </w:rPr>
              <w:t>一览表</w:t>
            </w:r>
          </w:p>
          <w:tbl>
            <w:tblPr>
              <w:tblStyle w:val="25"/>
              <w:tblW w:w="8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803"/>
              <w:gridCol w:w="1407"/>
              <w:gridCol w:w="1428"/>
              <w:gridCol w:w="1984"/>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trPr>
              <w:tc>
                <w:tcPr>
                  <w:tcW w:w="744" w:type="dxa"/>
                  <w:tcMar>
                    <w:top w:w="0" w:type="dxa"/>
                    <w:left w:w="108" w:type="dxa"/>
                    <w:bottom w:w="0" w:type="dxa"/>
                    <w:right w:w="108" w:type="dxa"/>
                  </w:tcMar>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1803" w:type="dxa"/>
                  <w:tcMar>
                    <w:top w:w="0" w:type="dxa"/>
                    <w:left w:w="108" w:type="dxa"/>
                    <w:bottom w:w="0" w:type="dxa"/>
                    <w:right w:w="108" w:type="dxa"/>
                  </w:tcMar>
                  <w:vAlign w:val="center"/>
                </w:tcPr>
                <w:p>
                  <w:pPr>
                    <w:jc w:val="center"/>
                    <w:rPr>
                      <w:rFonts w:ascii="Times New Roman" w:hAnsi="Times New Roman" w:cs="Times New Roman"/>
                      <w:b/>
                      <w:bCs/>
                      <w:szCs w:val="21"/>
                    </w:rPr>
                  </w:pPr>
                  <w:r>
                    <w:rPr>
                      <w:rFonts w:ascii="Times New Roman" w:hAnsi="Times New Roman" w:cs="Times New Roman"/>
                      <w:b/>
                      <w:bCs/>
                      <w:szCs w:val="21"/>
                    </w:rPr>
                    <w:t>设备名称</w:t>
                  </w:r>
                </w:p>
              </w:tc>
              <w:tc>
                <w:tcPr>
                  <w:tcW w:w="1407" w:type="dxa"/>
                  <w:tcMar>
                    <w:top w:w="0" w:type="dxa"/>
                    <w:left w:w="108" w:type="dxa"/>
                    <w:bottom w:w="0" w:type="dxa"/>
                    <w:right w:w="108" w:type="dxa"/>
                  </w:tcMar>
                  <w:vAlign w:val="center"/>
                </w:tcPr>
                <w:p>
                  <w:pPr>
                    <w:jc w:val="center"/>
                    <w:rPr>
                      <w:rFonts w:ascii="Times New Roman" w:hAnsi="Times New Roman" w:cs="Times New Roman"/>
                      <w:b/>
                      <w:bCs/>
                      <w:szCs w:val="21"/>
                    </w:rPr>
                  </w:pPr>
                  <w:r>
                    <w:rPr>
                      <w:rFonts w:hint="eastAsia" w:ascii="Times New Roman" w:hAnsi="Times New Roman" w:cs="Times New Roman"/>
                      <w:b/>
                      <w:bCs/>
                      <w:szCs w:val="21"/>
                    </w:rPr>
                    <w:t>规格/型号</w:t>
                  </w:r>
                </w:p>
              </w:tc>
              <w:tc>
                <w:tcPr>
                  <w:tcW w:w="1428" w:type="dxa"/>
                  <w:tcMar>
                    <w:top w:w="0" w:type="dxa"/>
                    <w:left w:w="108" w:type="dxa"/>
                    <w:bottom w:w="0" w:type="dxa"/>
                    <w:right w:w="108" w:type="dxa"/>
                  </w:tcMar>
                  <w:vAlign w:val="center"/>
                </w:tcPr>
                <w:p>
                  <w:pPr>
                    <w:jc w:val="center"/>
                    <w:rPr>
                      <w:rFonts w:ascii="Times New Roman" w:hAnsi="Times New Roman" w:cs="Times New Roman"/>
                      <w:b/>
                      <w:bCs/>
                      <w:szCs w:val="21"/>
                    </w:rPr>
                  </w:pPr>
                  <w:r>
                    <w:rPr>
                      <w:rFonts w:hint="eastAsia" w:ascii="Times New Roman" w:hAnsi="Times New Roman" w:cs="Times New Roman"/>
                      <w:b/>
                      <w:bCs/>
                      <w:szCs w:val="21"/>
                    </w:rPr>
                    <w:t>数量</w:t>
                  </w:r>
                </w:p>
              </w:tc>
              <w:tc>
                <w:tcPr>
                  <w:tcW w:w="1984" w:type="dxa"/>
                  <w:tcMar>
                    <w:top w:w="0" w:type="dxa"/>
                    <w:left w:w="108" w:type="dxa"/>
                    <w:bottom w:w="0" w:type="dxa"/>
                    <w:right w:w="108" w:type="dxa"/>
                  </w:tcMar>
                  <w:vAlign w:val="center"/>
                </w:tcPr>
                <w:p>
                  <w:pPr>
                    <w:jc w:val="center"/>
                    <w:rPr>
                      <w:rFonts w:ascii="Times New Roman" w:hAnsi="Times New Roman" w:cs="Times New Roman"/>
                      <w:b/>
                      <w:bCs/>
                      <w:szCs w:val="21"/>
                    </w:rPr>
                  </w:pPr>
                  <w:r>
                    <w:rPr>
                      <w:rFonts w:hint="eastAsia" w:ascii="Times New Roman" w:hAnsi="Times New Roman" w:cs="Times New Roman"/>
                      <w:b/>
                      <w:bCs/>
                      <w:szCs w:val="21"/>
                    </w:rPr>
                    <w:t>备注</w:t>
                  </w:r>
                </w:p>
              </w:tc>
              <w:tc>
                <w:tcPr>
                  <w:tcW w:w="1449" w:type="dxa"/>
                  <w:vAlign w:val="center"/>
                </w:tcPr>
                <w:p>
                  <w:pPr>
                    <w:jc w:val="center"/>
                    <w:rPr>
                      <w:rFonts w:ascii="Times New Roman" w:hAnsi="Times New Roman" w:cs="Times New Roman"/>
                      <w:b/>
                      <w:bCs/>
                      <w:szCs w:val="21"/>
                    </w:rPr>
                  </w:pPr>
                  <w:r>
                    <w:rPr>
                      <w:rFonts w:hint="eastAsia" w:ascii="Times New Roman" w:hAnsi="Times New Roman" w:cs="Times New Roman"/>
                      <w:b/>
                      <w:bCs/>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龙门切割机</w:t>
                  </w:r>
                </w:p>
              </w:tc>
              <w:tc>
                <w:tcPr>
                  <w:tcW w:w="1407"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rPr>
                    <w:t>MZ2200</w:t>
                  </w:r>
                </w:p>
              </w:tc>
              <w:tc>
                <w:tcPr>
                  <w:tcW w:w="1428"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5台</w:t>
                  </w:r>
                </w:p>
              </w:tc>
              <w:tc>
                <w:tcPr>
                  <w:tcW w:w="1984"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40KW，耗水量6m</w:t>
                  </w:r>
                  <w:r>
                    <w:rPr>
                      <w:rFonts w:hint="eastAsia" w:ascii="Times New Roman" w:hAnsi="Times New Roman" w:cstheme="minorBidi"/>
                      <w:vertAlign w:val="superscript"/>
                    </w:rPr>
                    <w:t>3</w:t>
                  </w:r>
                  <w:r>
                    <w:rPr>
                      <w:rFonts w:hint="eastAsia" w:ascii="Times New Roman" w:hAnsi="Times New Roman" w:cstheme="minorBidi"/>
                    </w:rPr>
                    <w:t>/h，用于荒料的初步切割</w:t>
                  </w:r>
                </w:p>
              </w:tc>
              <w:tc>
                <w:tcPr>
                  <w:tcW w:w="1449" w:type="dxa"/>
                  <w:vMerge w:val="restart"/>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石材加工生产线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红外线切割机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ascii="Times New Roman" w:hAnsi="Times New Roman" w:cs="Times New Roman"/>
                      <w:szCs w:val="21"/>
                    </w:rPr>
                    <w:t>XHQ1200</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18KW，</w:t>
                  </w:r>
                  <w:r>
                    <w:rPr>
                      <w:rFonts w:hint="eastAsia" w:ascii="Times New Roman" w:hAnsi="Times New Roman"/>
                    </w:rPr>
                    <w:t>耗水量4.5m</w:t>
                  </w:r>
                  <w:r>
                    <w:rPr>
                      <w:rFonts w:hint="eastAsia" w:ascii="Times New Roman" w:hAnsi="Times New Roman"/>
                      <w:vertAlign w:val="superscript"/>
                    </w:rPr>
                    <w:t>3</w:t>
                  </w:r>
                  <w:r>
                    <w:rPr>
                      <w:rFonts w:hint="eastAsia" w:ascii="Times New Roman" w:hAnsi="Times New Roman"/>
                    </w:rPr>
                    <w:t>/h，</w:t>
                  </w:r>
                  <w:r>
                    <w:rPr>
                      <w:rFonts w:hint="eastAsia" w:ascii="Times New Roman" w:hAnsi="Times New Roman" w:cs="Times New Roman"/>
                      <w:szCs w:val="21"/>
                    </w:rPr>
                    <w:t>用于石料的进一步切割</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自动直曲磨边机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2台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5KW，用于石材的磨边</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磨光机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2台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5.5KW，用于抛磨抛磨高光洁度板材</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雕刻机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2台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5.5KW，用于石材雕刻</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行车</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10t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2台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叉车</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3t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2台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用于石料装卸</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进料斗</w:t>
                  </w:r>
                </w:p>
              </w:tc>
              <w:tc>
                <w:tcPr>
                  <w:tcW w:w="1407"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rPr>
                    <w:t>4×4</w:t>
                  </w:r>
                </w:p>
              </w:tc>
              <w:tc>
                <w:tcPr>
                  <w:tcW w:w="1428"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1个</w:t>
                  </w:r>
                </w:p>
              </w:tc>
              <w:tc>
                <w:tcPr>
                  <w:tcW w:w="1984"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用于原料投放</w:t>
                  </w:r>
                </w:p>
              </w:tc>
              <w:tc>
                <w:tcPr>
                  <w:tcW w:w="1449" w:type="dxa"/>
                  <w:vMerge w:val="restart"/>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砂石生产线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皮带输送机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11KW</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用于物料传输</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ascii="Times New Roman" w:hAnsi="Times New Roman" w:cs="Times New Roman"/>
                      <w:szCs w:val="21"/>
                    </w:rPr>
                    <w:t>破碎机</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LM-9000</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用于物料的破碎，处理能力</w:t>
                  </w:r>
                  <w:r>
                    <w:rPr>
                      <w:rFonts w:ascii="Times New Roman" w:hAnsi="Times New Roman" w:cs="Times New Roman"/>
                      <w:szCs w:val="21"/>
                    </w:rPr>
                    <w:t>275</w:t>
                  </w:r>
                  <w:r>
                    <w:rPr>
                      <w:rFonts w:hint="eastAsia" w:ascii="Times New Roman" w:hAnsi="Times New Roman" w:cs="Times New Roman"/>
                      <w:szCs w:val="21"/>
                    </w:rPr>
                    <w:t>～</w:t>
                  </w:r>
                  <w:r>
                    <w:rPr>
                      <w:rFonts w:ascii="Times New Roman" w:hAnsi="Times New Roman" w:cs="Times New Roman"/>
                      <w:szCs w:val="21"/>
                    </w:rPr>
                    <w:t>600</w:t>
                  </w:r>
                  <w:r>
                    <w:rPr>
                      <w:rFonts w:hint="eastAsia" w:ascii="Times New Roman" w:hAnsi="Times New Roman" w:cs="Times New Roman"/>
                      <w:szCs w:val="21"/>
                    </w:rPr>
                    <w:t xml:space="preserve"> t/h</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振动筛</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3YKJ2070</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ascii="Times New Roman" w:hAnsi="Times New Roman" w:cs="Times New Roman"/>
                      <w:szCs w:val="21"/>
                    </w:rPr>
                    <w:t>1台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用于物料筛分，处理能力200～480t/h</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地磅</w:t>
                  </w:r>
                </w:p>
              </w:tc>
              <w:tc>
                <w:tcPr>
                  <w:tcW w:w="1407"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120t</w:t>
                  </w:r>
                </w:p>
              </w:tc>
              <w:tc>
                <w:tcPr>
                  <w:tcW w:w="1428"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1台</w:t>
                  </w:r>
                </w:p>
              </w:tc>
              <w:tc>
                <w:tcPr>
                  <w:tcW w:w="1984" w:type="dxa"/>
                  <w:tcMar>
                    <w:top w:w="0" w:type="dxa"/>
                    <w:left w:w="108" w:type="dxa"/>
                    <w:bottom w:w="0" w:type="dxa"/>
                    <w:right w:w="108" w:type="dxa"/>
                  </w:tcMar>
                  <w:vAlign w:val="center"/>
                </w:tcPr>
                <w:p>
                  <w:pPr>
                    <w:jc w:val="center"/>
                    <w:rPr>
                      <w:rFonts w:ascii="Times New Roman" w:hAnsi="Times New Roman" w:cs="Times New Roman"/>
                      <w:szCs w:val="21"/>
                    </w:rPr>
                  </w:pPr>
                  <w:r>
                    <w:rPr>
                      <w:rFonts w:hint="eastAsia" w:ascii="Times New Roman" w:hAnsi="Times New Roman" w:cs="Times New Roman"/>
                      <w:szCs w:val="21"/>
                    </w:rPr>
                    <w:t>用于原料和产品计量</w:t>
                  </w:r>
                </w:p>
              </w:tc>
              <w:tc>
                <w:tcPr>
                  <w:tcW w:w="144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装载机</w:t>
                  </w:r>
                </w:p>
              </w:tc>
              <w:tc>
                <w:tcPr>
                  <w:tcW w:w="1407"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50型</w:t>
                  </w:r>
                </w:p>
              </w:tc>
              <w:tc>
                <w:tcPr>
                  <w:tcW w:w="1428" w:type="dxa"/>
                  <w:tcMar>
                    <w:top w:w="0" w:type="dxa"/>
                    <w:left w:w="108" w:type="dxa"/>
                    <w:bottom w:w="0" w:type="dxa"/>
                    <w:right w:w="108" w:type="dxa"/>
                  </w:tcMar>
                  <w:vAlign w:val="center"/>
                </w:tcPr>
                <w:p>
                  <w:pPr>
                    <w:pStyle w:val="59"/>
                    <w:ind w:firstLine="0" w:firstLineChars="0"/>
                    <w:jc w:val="center"/>
                    <w:rPr>
                      <w:rFonts w:ascii="Times New Roman" w:hAnsi="Times New Roman"/>
                    </w:rPr>
                  </w:pPr>
                  <w:r>
                    <w:rPr>
                      <w:rFonts w:hint="eastAsia" w:ascii="Times New Roman" w:hAnsi="Times New Roman"/>
                    </w:rPr>
                    <w:t>2辆</w:t>
                  </w:r>
                </w:p>
              </w:tc>
              <w:tc>
                <w:tcPr>
                  <w:tcW w:w="1984"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用于物料装卸</w:t>
                  </w:r>
                </w:p>
              </w:tc>
              <w:tc>
                <w:tcPr>
                  <w:tcW w:w="1449" w:type="dxa"/>
                  <w:vMerge w:val="continue"/>
                  <w:vAlign w:val="center"/>
                </w:tcPr>
                <w:p>
                  <w:pPr>
                    <w:pStyle w:val="59"/>
                    <w:ind w:firstLine="0" w:firstLineChars="0"/>
                    <w:jc w:val="center"/>
                    <w:rPr>
                      <w:rFonts w:ascii="Times New Roman" w:hAnsi="Times New Roma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运输车辆</w:t>
                  </w:r>
                </w:p>
              </w:tc>
              <w:tc>
                <w:tcPr>
                  <w:tcW w:w="1407"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35t</w:t>
                  </w:r>
                </w:p>
              </w:tc>
              <w:tc>
                <w:tcPr>
                  <w:tcW w:w="1428" w:type="dxa"/>
                  <w:tcMar>
                    <w:top w:w="0" w:type="dxa"/>
                    <w:left w:w="108" w:type="dxa"/>
                    <w:bottom w:w="0" w:type="dxa"/>
                    <w:right w:w="108" w:type="dxa"/>
                  </w:tcMar>
                  <w:vAlign w:val="center"/>
                </w:tcPr>
                <w:p>
                  <w:pPr>
                    <w:pStyle w:val="59"/>
                    <w:ind w:firstLine="0" w:firstLineChars="0"/>
                    <w:jc w:val="center"/>
                    <w:rPr>
                      <w:rFonts w:ascii="Times New Roman" w:hAnsi="Times New Roman"/>
                    </w:rPr>
                  </w:pPr>
                  <w:r>
                    <w:rPr>
                      <w:rFonts w:hint="eastAsia" w:ascii="Times New Roman" w:hAnsi="Times New Roman"/>
                    </w:rPr>
                    <w:t>5辆</w:t>
                  </w:r>
                </w:p>
              </w:tc>
              <w:tc>
                <w:tcPr>
                  <w:tcW w:w="1984"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用于物料运输</w:t>
                  </w:r>
                </w:p>
              </w:tc>
              <w:tc>
                <w:tcPr>
                  <w:tcW w:w="1449" w:type="dxa"/>
                  <w:vMerge w:val="continue"/>
                  <w:vAlign w:val="center"/>
                </w:tcPr>
                <w:p>
                  <w:pPr>
                    <w:pStyle w:val="59"/>
                    <w:ind w:firstLine="0" w:firstLineChars="0"/>
                    <w:jc w:val="center"/>
                    <w:rPr>
                      <w:rFonts w:ascii="Times New Roman" w:hAnsi="Times New Roma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744" w:type="dxa"/>
                  <w:tcMar>
                    <w:top w:w="0" w:type="dxa"/>
                    <w:left w:w="108" w:type="dxa"/>
                    <w:bottom w:w="0" w:type="dxa"/>
                    <w:right w:w="108" w:type="dxa"/>
                  </w:tcMar>
                  <w:vAlign w:val="center"/>
                </w:tcPr>
                <w:p>
                  <w:pPr>
                    <w:pStyle w:val="60"/>
                    <w:numPr>
                      <w:ilvl w:val="0"/>
                      <w:numId w:val="4"/>
                    </w:numPr>
                    <w:ind w:firstLineChars="0"/>
                    <w:jc w:val="center"/>
                    <w:rPr>
                      <w:rFonts w:ascii="Times New Roman" w:hAnsi="Times New Roman" w:eastAsia="宋体"/>
                      <w:szCs w:val="21"/>
                    </w:rPr>
                  </w:pPr>
                </w:p>
              </w:tc>
              <w:tc>
                <w:tcPr>
                  <w:tcW w:w="1803"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地磅</w:t>
                  </w:r>
                </w:p>
              </w:tc>
              <w:tc>
                <w:tcPr>
                  <w:tcW w:w="1407"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120t</w:t>
                  </w:r>
                </w:p>
              </w:tc>
              <w:tc>
                <w:tcPr>
                  <w:tcW w:w="1428" w:type="dxa"/>
                  <w:tcMar>
                    <w:top w:w="0" w:type="dxa"/>
                    <w:left w:w="108" w:type="dxa"/>
                    <w:bottom w:w="0" w:type="dxa"/>
                    <w:right w:w="108" w:type="dxa"/>
                  </w:tcMar>
                  <w:vAlign w:val="center"/>
                </w:tcPr>
                <w:p>
                  <w:pPr>
                    <w:pStyle w:val="59"/>
                    <w:ind w:firstLine="0" w:firstLineChars="0"/>
                    <w:jc w:val="center"/>
                    <w:rPr>
                      <w:rFonts w:ascii="Times New Roman" w:hAnsi="Times New Roman"/>
                    </w:rPr>
                  </w:pPr>
                  <w:r>
                    <w:rPr>
                      <w:rFonts w:hint="eastAsia" w:ascii="Times New Roman" w:hAnsi="Times New Roman"/>
                    </w:rPr>
                    <w:t>1套</w:t>
                  </w:r>
                </w:p>
              </w:tc>
              <w:tc>
                <w:tcPr>
                  <w:tcW w:w="1984" w:type="dxa"/>
                  <w:tcMar>
                    <w:top w:w="0" w:type="dxa"/>
                    <w:left w:w="108" w:type="dxa"/>
                    <w:bottom w:w="0" w:type="dxa"/>
                    <w:right w:w="108" w:type="dxa"/>
                  </w:tcMar>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用于物料称重</w:t>
                  </w:r>
                </w:p>
              </w:tc>
              <w:tc>
                <w:tcPr>
                  <w:tcW w:w="1449" w:type="dxa"/>
                  <w:vAlign w:val="center"/>
                </w:tcPr>
                <w:p>
                  <w:pPr>
                    <w:pStyle w:val="59"/>
                    <w:ind w:firstLine="0" w:firstLineChars="0"/>
                    <w:jc w:val="center"/>
                    <w:rPr>
                      <w:rFonts w:ascii="Times New Roman" w:hAnsi="Times New Roman" w:cstheme="minorBidi"/>
                    </w:rPr>
                  </w:pPr>
                </w:p>
              </w:tc>
            </w:tr>
          </w:tbl>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1.6原辅材料及能耗</w:t>
            </w:r>
          </w:p>
          <w:p>
            <w:pPr>
              <w:autoSpaceDE w:val="0"/>
              <w:autoSpaceDN w:val="0"/>
              <w:adjustRightInd w:val="0"/>
              <w:spacing w:line="360" w:lineRule="auto"/>
              <w:ind w:firstLine="480" w:firstLineChars="200"/>
              <w:jc w:val="left"/>
              <w:rPr>
                <w:rFonts w:ascii="Times New Roman" w:hAnsi="Times New Roman" w:cs="Times New Roman"/>
                <w:kern w:val="0"/>
                <w:sz w:val="24"/>
              </w:rPr>
            </w:pPr>
            <w:r>
              <w:rPr>
                <w:rFonts w:hint="eastAsia" w:ascii="Times New Roman" w:hAnsi="Times New Roman" w:cs="Times New Roman"/>
                <w:kern w:val="0"/>
                <w:sz w:val="24"/>
              </w:rPr>
              <w:t>根据建设单位提供资料，本项目主要原辅材料及能源消耗见</w:t>
            </w:r>
            <w:r>
              <w:rPr>
                <w:rFonts w:ascii="Times New Roman" w:hAnsi="Times New Roman" w:cs="Times New Roman"/>
                <w:kern w:val="0"/>
                <w:sz w:val="24"/>
              </w:rPr>
              <w:fldChar w:fldCharType="begin"/>
            </w:r>
            <w:r>
              <w:rPr>
                <w:rFonts w:ascii="Times New Roman" w:hAnsi="Times New Roman" w:cs="Times New Roman"/>
                <w:kern w:val="0"/>
                <w:sz w:val="24"/>
              </w:rPr>
              <w:instrText xml:space="preserve"> </w:instrText>
            </w:r>
            <w:r>
              <w:rPr>
                <w:rFonts w:hint="eastAsia" w:ascii="Times New Roman" w:hAnsi="Times New Roman" w:cs="Times New Roman"/>
                <w:kern w:val="0"/>
                <w:sz w:val="24"/>
              </w:rPr>
              <w:instrText xml:space="preserve">REF _Ref492653820 \h</w:instrText>
            </w:r>
            <w:r>
              <w:rPr>
                <w:rFonts w:ascii="Times New Roman" w:hAnsi="Times New Roman" w:cs="Times New Roman"/>
                <w:kern w:val="0"/>
                <w:sz w:val="24"/>
              </w:rPr>
              <w:instrText xml:space="preserve">  \* MERGEFORMAT </w:instrText>
            </w:r>
            <w:r>
              <w:rPr>
                <w:rFonts w:ascii="Times New Roman" w:hAnsi="Times New Roman" w:cs="Times New Roman"/>
                <w:kern w:val="0"/>
                <w:sz w:val="24"/>
              </w:rPr>
              <w:fldChar w:fldCharType="separate"/>
            </w:r>
            <w:r>
              <w:rPr>
                <w:rFonts w:hint="eastAsia" w:ascii="Times New Roman" w:hAnsi="Times New Roman" w:cs="Times New Roman"/>
                <w:kern w:val="0"/>
                <w:sz w:val="24"/>
              </w:rPr>
              <w:t>表1-</w:t>
            </w:r>
            <w:r>
              <w:rPr>
                <w:rFonts w:ascii="Times New Roman" w:hAnsi="Times New Roman" w:cs="Times New Roman"/>
                <w:kern w:val="0"/>
                <w:sz w:val="24"/>
              </w:rPr>
              <w:t>4</w:t>
            </w:r>
            <w:r>
              <w:rPr>
                <w:rFonts w:ascii="Times New Roman" w:hAnsi="Times New Roman" w:cs="Times New Roman"/>
                <w:kern w:val="0"/>
                <w:sz w:val="24"/>
              </w:rPr>
              <w:fldChar w:fldCharType="end"/>
            </w:r>
            <w:r>
              <w:rPr>
                <w:rFonts w:hint="eastAsia" w:ascii="Times New Roman" w:hAnsi="Times New Roman" w:cs="Times New Roman"/>
                <w:kern w:val="0"/>
                <w:sz w:val="24"/>
              </w:rPr>
              <w:t>，原辅材料理化性质或用途见</w:t>
            </w:r>
            <w:r>
              <w:rPr>
                <w:rFonts w:ascii="Times New Roman" w:hAnsi="Times New Roman" w:cs="Times New Roman"/>
                <w:kern w:val="0"/>
                <w:sz w:val="24"/>
              </w:rPr>
              <w:fldChar w:fldCharType="begin"/>
            </w:r>
            <w:r>
              <w:rPr>
                <w:rFonts w:ascii="Times New Roman" w:hAnsi="Times New Roman" w:cs="Times New Roman"/>
                <w:kern w:val="0"/>
                <w:sz w:val="24"/>
              </w:rPr>
              <w:instrText xml:space="preserve"> </w:instrText>
            </w:r>
            <w:r>
              <w:rPr>
                <w:rFonts w:hint="eastAsia" w:ascii="Times New Roman" w:hAnsi="Times New Roman" w:cs="Times New Roman"/>
                <w:kern w:val="0"/>
                <w:sz w:val="24"/>
              </w:rPr>
              <w:instrText xml:space="preserve">REF _Ref492653831 \h</w:instrText>
            </w:r>
            <w:r>
              <w:rPr>
                <w:rFonts w:ascii="Times New Roman" w:hAnsi="Times New Roman" w:cs="Times New Roman"/>
                <w:kern w:val="0"/>
                <w:sz w:val="24"/>
              </w:rPr>
              <w:instrText xml:space="preserve">  \* MERGEFORMAT </w:instrText>
            </w:r>
            <w:r>
              <w:rPr>
                <w:rFonts w:ascii="Times New Roman" w:hAnsi="Times New Roman" w:cs="Times New Roman"/>
                <w:kern w:val="0"/>
                <w:sz w:val="24"/>
              </w:rPr>
              <w:fldChar w:fldCharType="separate"/>
            </w:r>
            <w:r>
              <w:rPr>
                <w:rFonts w:hint="eastAsia" w:ascii="Times New Roman" w:hAnsi="Times New Roman" w:cs="Times New Roman"/>
                <w:kern w:val="0"/>
                <w:sz w:val="24"/>
              </w:rPr>
              <w:t>表1-</w:t>
            </w:r>
            <w:r>
              <w:rPr>
                <w:rFonts w:ascii="Times New Roman" w:hAnsi="Times New Roman" w:cs="Times New Roman"/>
                <w:kern w:val="0"/>
                <w:sz w:val="24"/>
              </w:rPr>
              <w:t>5</w:t>
            </w:r>
            <w:r>
              <w:rPr>
                <w:rFonts w:ascii="Times New Roman" w:hAnsi="Times New Roman" w:cs="Times New Roman"/>
                <w:kern w:val="0"/>
                <w:sz w:val="24"/>
              </w:rPr>
              <w:fldChar w:fldCharType="end"/>
            </w:r>
            <w:r>
              <w:rPr>
                <w:rFonts w:hint="eastAsia" w:ascii="Times New Roman" w:hAnsi="Times New Roman" w:cs="Times New Roman"/>
                <w:kern w:val="0"/>
                <w:sz w:val="24"/>
              </w:rPr>
              <w:t>。本项目原材料来自于邵东县及周边区域，环评要求</w:t>
            </w:r>
            <w:r>
              <w:rPr>
                <w:rFonts w:hint="eastAsia" w:ascii="Times New Roman" w:hAnsi="Times New Roman" w:cs="Times New Roman"/>
                <w:sz w:val="24"/>
                <w:u w:val="single"/>
              </w:rPr>
              <w:t>建设单位对项目生产原料来源进行严格把关，只能使用大理石、花岗岩、石灰岩等废石料为原料进行生产，不得外购采石场碎石进行生产，并确保原料放射性符合《建筑材料放射性核素限量》（GB 6566-2010），禁止以金属矿废石、危险废物等有毒有害物质为原料</w:t>
            </w:r>
            <w:r>
              <w:rPr>
                <w:rFonts w:hint="eastAsia" w:ascii="Times New Roman" w:hAnsi="Times New Roman" w:cs="Times New Roman"/>
                <w:kern w:val="0"/>
                <w:sz w:val="24"/>
              </w:rPr>
              <w:t>。此外，原材料应入棚存放，禁止露天堆放。</w:t>
            </w:r>
          </w:p>
          <w:p>
            <w:pPr>
              <w:pStyle w:val="38"/>
              <w:spacing w:before="156"/>
              <w:rPr>
                <w:color w:val="auto"/>
              </w:rPr>
            </w:pPr>
            <w:bookmarkStart w:id="25" w:name="_Ref492653820"/>
            <w:r>
              <w:rPr>
                <w:rFonts w:hint="eastAsia" w:cs="Times New Roman"/>
                <w:color w:val="auto"/>
              </w:rPr>
              <w:t>表1-</w:t>
            </w:r>
            <w:r>
              <w:rPr>
                <w:rFonts w:cs="Times New Roman"/>
                <w:b w:val="0"/>
                <w:color w:val="auto"/>
              </w:rPr>
              <w:fldChar w:fldCharType="begin"/>
            </w:r>
            <w:r>
              <w:rPr>
                <w:rFonts w:cs="Times New Roman"/>
                <w:color w:val="auto"/>
              </w:rPr>
              <w:instrText xml:space="preserve"> </w:instrText>
            </w:r>
            <w:r>
              <w:rPr>
                <w:rFonts w:hint="eastAsia" w:cs="Times New Roman"/>
                <w:color w:val="auto"/>
              </w:rPr>
              <w:instrText xml:space="preserve">SEQ 表1- \* ARABIC</w:instrText>
            </w:r>
            <w:r>
              <w:rPr>
                <w:rFonts w:cs="Times New Roman"/>
                <w:color w:val="auto"/>
              </w:rPr>
              <w:instrText xml:space="preserve"> </w:instrText>
            </w:r>
            <w:r>
              <w:rPr>
                <w:rFonts w:cs="Times New Roman"/>
                <w:b w:val="0"/>
                <w:color w:val="auto"/>
              </w:rPr>
              <w:fldChar w:fldCharType="separate"/>
            </w:r>
            <w:r>
              <w:rPr>
                <w:rFonts w:cs="Times New Roman"/>
                <w:color w:val="auto"/>
              </w:rPr>
              <w:t>4</w:t>
            </w:r>
            <w:r>
              <w:rPr>
                <w:rFonts w:cs="Times New Roman"/>
                <w:b w:val="0"/>
                <w:color w:val="auto"/>
              </w:rPr>
              <w:fldChar w:fldCharType="end"/>
            </w:r>
            <w:bookmarkEnd w:id="25"/>
            <w:r>
              <w:rPr>
                <w:color w:val="auto"/>
              </w:rPr>
              <w:t xml:space="preserve">   项目</w:t>
            </w:r>
            <w:r>
              <w:rPr>
                <w:rFonts w:hint="eastAsia"/>
                <w:color w:val="auto"/>
              </w:rPr>
              <w:t>原辅材料及能耗</w:t>
            </w:r>
            <w:r>
              <w:rPr>
                <w:color w:val="auto"/>
              </w:rPr>
              <w:t>一览表</w:t>
            </w:r>
          </w:p>
          <w:tbl>
            <w:tblPr>
              <w:tblStyle w:val="25"/>
              <w:tblW w:w="878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02"/>
              <w:gridCol w:w="1984"/>
              <w:gridCol w:w="1276"/>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blHeader/>
              </w:trPr>
              <w:tc>
                <w:tcPr>
                  <w:tcW w:w="708"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70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1984"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用量</w:t>
                  </w:r>
                </w:p>
              </w:tc>
              <w:tc>
                <w:tcPr>
                  <w:tcW w:w="1276"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用途</w:t>
                  </w:r>
                </w:p>
              </w:tc>
              <w:tc>
                <w:tcPr>
                  <w:tcW w:w="1559"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备注</w:t>
                  </w:r>
                </w:p>
              </w:tc>
              <w:tc>
                <w:tcPr>
                  <w:tcW w:w="1559"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大理石（荒料）</w:t>
                  </w:r>
                </w:p>
              </w:tc>
              <w:tc>
                <w:tcPr>
                  <w:tcW w:w="1984"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/a</w:t>
                  </w:r>
                </w:p>
                <w:p>
                  <w:pPr>
                    <w:jc w:val="center"/>
                    <w:rPr>
                      <w:rFonts w:ascii="Times New Roman" w:hAnsi="Times New Roman" w:eastAsia="宋体" w:cs="Times New Roman"/>
                      <w:szCs w:val="21"/>
                    </w:rPr>
                  </w:pPr>
                  <w:r>
                    <w:rPr>
                      <w:rFonts w:hint="eastAsia" w:ascii="Times New Roman" w:hAnsi="Times New Roman" w:eastAsia="宋体" w:cs="Times New Roman"/>
                      <w:szCs w:val="21"/>
                    </w:rPr>
                    <w:t>（约27000t/a）</w:t>
                  </w:r>
                </w:p>
              </w:tc>
              <w:tc>
                <w:tcPr>
                  <w:tcW w:w="127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石板原料</w:t>
                  </w:r>
                </w:p>
              </w:tc>
              <w:tc>
                <w:tcPr>
                  <w:tcW w:w="1559"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来自于邵东县及周边区域矿山</w:t>
                  </w:r>
                </w:p>
              </w:tc>
              <w:tc>
                <w:tcPr>
                  <w:tcW w:w="1559"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石材加工生产线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花岗岩（荒料）</w:t>
                  </w:r>
                </w:p>
              </w:tc>
              <w:tc>
                <w:tcPr>
                  <w:tcW w:w="1984" w:type="dxa"/>
                  <w:vMerge w:val="continue"/>
                  <w:vAlign w:val="center"/>
                </w:tcPr>
                <w:p>
                  <w:pPr>
                    <w:jc w:val="center"/>
                    <w:rPr>
                      <w:rFonts w:ascii="Times New Roman" w:hAnsi="Times New Roman" w:eastAsia="宋体" w:cs="Times New Roman"/>
                      <w:szCs w:val="21"/>
                    </w:rPr>
                  </w:pPr>
                </w:p>
              </w:tc>
              <w:tc>
                <w:tcPr>
                  <w:tcW w:w="1276" w:type="dxa"/>
                  <w:vMerge w:val="continue"/>
                  <w:vAlign w:val="center"/>
                </w:tcPr>
                <w:p>
                  <w:pPr>
                    <w:jc w:val="center"/>
                    <w:rPr>
                      <w:rFonts w:ascii="Times New Roman" w:hAnsi="Times New Roman" w:eastAsia="宋体" w:cs="Times New Roman"/>
                      <w:szCs w:val="21"/>
                    </w:rPr>
                  </w:pPr>
                </w:p>
              </w:tc>
              <w:tc>
                <w:tcPr>
                  <w:tcW w:w="1559" w:type="dxa"/>
                  <w:vMerge w:val="continue"/>
                  <w:vAlign w:val="center"/>
                </w:tcPr>
                <w:p>
                  <w:pPr>
                    <w:jc w:val="center"/>
                    <w:rPr>
                      <w:rFonts w:ascii="Times New Roman" w:hAnsi="Times New Roman" w:eastAsia="宋体" w:cs="Times New Roman"/>
                      <w:szCs w:val="21"/>
                    </w:rPr>
                  </w:pPr>
                </w:p>
              </w:tc>
              <w:tc>
                <w:tcPr>
                  <w:tcW w:w="15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切割刀片</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 t/a</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切割机组件</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外购</w:t>
                  </w:r>
                </w:p>
              </w:tc>
              <w:tc>
                <w:tcPr>
                  <w:tcW w:w="15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磨轮</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 t/a</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磨光机、磨边机组件</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外购</w:t>
                  </w:r>
                </w:p>
              </w:tc>
              <w:tc>
                <w:tcPr>
                  <w:tcW w:w="1559"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废石料</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392350</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砂石原料</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外购自周边石材加工厂</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砂石生产线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润滑油</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 t/a</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设备用油</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外购</w:t>
                  </w:r>
                </w:p>
              </w:tc>
              <w:tc>
                <w:tcPr>
                  <w:tcW w:w="1559"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生活用水</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135m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/a</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来自区域自来水</w:t>
                  </w:r>
                </w:p>
              </w:tc>
              <w:tc>
                <w:tcPr>
                  <w:tcW w:w="1559"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rPr>
                    <w:t>生产补充用水</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11700m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/a</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场地循环水池汇集的雨水，不足时由自来水补充</w:t>
                  </w:r>
                </w:p>
              </w:tc>
              <w:tc>
                <w:tcPr>
                  <w:tcW w:w="1559"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08" w:type="dxa"/>
                  <w:vAlign w:val="center"/>
                </w:tcPr>
                <w:p>
                  <w:pPr>
                    <w:pStyle w:val="53"/>
                    <w:numPr>
                      <w:ilvl w:val="0"/>
                      <w:numId w:val="5"/>
                    </w:numPr>
                    <w:ind w:firstLineChars="0"/>
                    <w:jc w:val="center"/>
                    <w:rPr>
                      <w:rFonts w:ascii="Times New Roman" w:hAnsi="Times New Roman" w:eastAsia="宋体" w:cs="Times New Roman"/>
                      <w:szCs w:val="21"/>
                    </w:rPr>
                  </w:pPr>
                </w:p>
              </w:tc>
              <w:tc>
                <w:tcPr>
                  <w:tcW w:w="1702" w:type="dxa"/>
                  <w:vAlign w:val="center"/>
                </w:tcPr>
                <w:p>
                  <w:pPr>
                    <w:jc w:val="center"/>
                    <w:rPr>
                      <w:rFonts w:ascii="Times New Roman" w:hAnsi="Times New Roman" w:eastAsia="宋体" w:cs="Times New Roman"/>
                      <w:szCs w:val="21"/>
                    </w:rPr>
                  </w:pPr>
                  <w:r>
                    <w:rPr>
                      <w:rFonts w:hint="eastAsia" w:ascii="Times New Roman" w:hAnsi="Times New Roman" w:cs="Times New Roman"/>
                      <w:szCs w:val="21"/>
                    </w:rPr>
                    <w:t>电</w:t>
                  </w:r>
                </w:p>
              </w:tc>
              <w:tc>
                <w:tcPr>
                  <w:tcW w:w="198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100万KW</w:t>
                  </w:r>
                  <w:r>
                    <w:rPr>
                      <w:rFonts w:ascii="Times New Roman" w:hAnsi="Times New Roman" w:eastAsia="宋体" w:cs="Times New Roman"/>
                      <w:szCs w:val="21"/>
                    </w:rPr>
                    <w:t>▪</w:t>
                  </w:r>
                  <w:r>
                    <w:rPr>
                      <w:rFonts w:hint="eastAsia" w:ascii="Times New Roman" w:hAnsi="Times New Roman" w:eastAsia="宋体" w:cs="Times New Roman"/>
                      <w:szCs w:val="21"/>
                    </w:rPr>
                    <w:t>h</w:t>
                  </w:r>
                </w:p>
              </w:tc>
              <w:tc>
                <w:tcPr>
                  <w:tcW w:w="12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55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区域电网供应</w:t>
                  </w:r>
                </w:p>
              </w:tc>
              <w:tc>
                <w:tcPr>
                  <w:tcW w:w="1559" w:type="dxa"/>
                  <w:vAlign w:val="center"/>
                </w:tcPr>
                <w:p>
                  <w:pPr>
                    <w:jc w:val="center"/>
                    <w:rPr>
                      <w:rFonts w:ascii="Times New Roman" w:hAnsi="Times New Roman" w:eastAsia="宋体" w:cs="Times New Roman"/>
                      <w:szCs w:val="21"/>
                    </w:rPr>
                  </w:pPr>
                </w:p>
              </w:tc>
            </w:tr>
          </w:tbl>
          <w:p>
            <w:pPr>
              <w:pStyle w:val="38"/>
              <w:spacing w:before="156"/>
              <w:rPr>
                <w:color w:val="auto"/>
              </w:rPr>
            </w:pPr>
            <w:bookmarkStart w:id="26" w:name="_Ref492653831"/>
            <w:r>
              <w:rPr>
                <w:rFonts w:hint="eastAsia" w:cs="Times New Roman"/>
                <w:color w:val="auto"/>
              </w:rPr>
              <w:t>表1-</w:t>
            </w:r>
            <w:r>
              <w:rPr>
                <w:rFonts w:cs="Times New Roman"/>
                <w:b w:val="0"/>
                <w:color w:val="auto"/>
              </w:rPr>
              <w:fldChar w:fldCharType="begin"/>
            </w:r>
            <w:r>
              <w:rPr>
                <w:rFonts w:cs="Times New Roman"/>
                <w:color w:val="auto"/>
              </w:rPr>
              <w:instrText xml:space="preserve"> </w:instrText>
            </w:r>
            <w:r>
              <w:rPr>
                <w:rFonts w:hint="eastAsia" w:cs="Times New Roman"/>
                <w:color w:val="auto"/>
              </w:rPr>
              <w:instrText xml:space="preserve">SEQ 表1- \* ARABIC</w:instrText>
            </w:r>
            <w:r>
              <w:rPr>
                <w:rFonts w:cs="Times New Roman"/>
                <w:color w:val="auto"/>
              </w:rPr>
              <w:instrText xml:space="preserve"> </w:instrText>
            </w:r>
            <w:r>
              <w:rPr>
                <w:rFonts w:cs="Times New Roman"/>
                <w:b w:val="0"/>
                <w:color w:val="auto"/>
              </w:rPr>
              <w:fldChar w:fldCharType="separate"/>
            </w:r>
            <w:r>
              <w:rPr>
                <w:rFonts w:cs="Times New Roman"/>
                <w:color w:val="auto"/>
              </w:rPr>
              <w:t>5</w:t>
            </w:r>
            <w:r>
              <w:rPr>
                <w:rFonts w:cs="Times New Roman"/>
                <w:b w:val="0"/>
                <w:color w:val="auto"/>
              </w:rPr>
              <w:fldChar w:fldCharType="end"/>
            </w:r>
            <w:bookmarkEnd w:id="26"/>
            <w:r>
              <w:rPr>
                <w:color w:val="auto"/>
              </w:rPr>
              <w:t xml:space="preserve">   </w:t>
            </w:r>
            <w:r>
              <w:rPr>
                <w:rFonts w:hint="eastAsia"/>
                <w:color w:val="auto"/>
              </w:rPr>
              <w:t>原辅材料说明</w:t>
            </w:r>
          </w:p>
          <w:tbl>
            <w:tblPr>
              <w:tblStyle w:val="25"/>
              <w:tblW w:w="878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50"/>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9"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850"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7230"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理化性质/用途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9" w:type="dxa"/>
                  <w:vAlign w:val="center"/>
                </w:tcPr>
                <w:p>
                  <w:pPr>
                    <w:pStyle w:val="53"/>
                    <w:numPr>
                      <w:ilvl w:val="0"/>
                      <w:numId w:val="6"/>
                    </w:numPr>
                    <w:ind w:firstLineChars="0"/>
                    <w:jc w:val="center"/>
                    <w:rPr>
                      <w:rFonts w:ascii="Times New Roman" w:hAnsi="Times New Roman" w:eastAsia="宋体" w:cs="Times New Roman"/>
                      <w:szCs w:val="21"/>
                    </w:rPr>
                  </w:pPr>
                </w:p>
              </w:tc>
              <w:tc>
                <w:tcPr>
                  <w:tcW w:w="8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大理石</w:t>
                  </w:r>
                </w:p>
              </w:tc>
              <w:tc>
                <w:tcPr>
                  <w:tcW w:w="7230" w:type="dxa"/>
                  <w:vAlign w:val="center"/>
                </w:tcPr>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大理石是地壳中原有的岩石经过地壳内高温高压作用形成的变质岩。属于中硬石材，主要由方解石、石灰石、蛇纹石和白云石组成，主要成分是</w:t>
                  </w:r>
                  <w:r>
                    <w:rPr>
                      <w:rFonts w:ascii="Times New Roman" w:hAnsi="Times New Roman" w:eastAsia="宋体" w:cs="Times New Roman"/>
                      <w:szCs w:val="21"/>
                    </w:rPr>
                    <w:t>CaCO</w:t>
                  </w:r>
                  <w:r>
                    <w:rPr>
                      <w:rFonts w:hint="eastAsia" w:ascii="Cambria Math" w:hAnsi="Cambria Math" w:eastAsia="宋体" w:cs="Cambria Math"/>
                      <w:szCs w:val="21"/>
                      <w:vertAlign w:val="subscript"/>
                    </w:rPr>
                    <w:t>3</w:t>
                  </w:r>
                  <w:r>
                    <w:rPr>
                      <w:rFonts w:hint="eastAsia" w:ascii="Times New Roman" w:hAnsi="Times New Roman" w:eastAsia="宋体" w:cs="Times New Roman"/>
                      <w:szCs w:val="21"/>
                    </w:rPr>
                    <w:t>，在高温高压下变软，并在所含矿物质发生变化时重新结晶形成大理石。主要成分是钙和白云石，颜色很多，通常有明显的花纹，矿物颗粒很多。大理石摩氏硬度在2.5～5之间，密度2.6～2.8g/cm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。由于大理石一般都含有杂质，而且碳酸钙在大气中受二氧化碳、碳化物、水气的作用，也容易风化和溶蚀，而使表面很快失去光泽。</w:t>
                  </w:r>
                </w:p>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大理石一般物理性质比较软，这是相对于花岗石而言的。在室内装修中，电视机台面、窗台、室内地面等适合使用大理石。大理石是商品名称，并非岩石学定义。大理石是天然建筑装饰石材的一大门类，一般指具有装饰功能，可以加工成建筑石材或工艺品的已变质或未变质的碳酸盐岩类。它是由中国云南大理市点苍山所产的具有绚丽色泽与花纹的石材而得名。大理石泛指大理岩、石灰岩、白云岩、以及碳酸盐岩经不同蚀变形成的矽卡岩和大理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9" w:type="dxa"/>
                  <w:vAlign w:val="center"/>
                </w:tcPr>
                <w:p>
                  <w:pPr>
                    <w:pStyle w:val="53"/>
                    <w:numPr>
                      <w:ilvl w:val="0"/>
                      <w:numId w:val="6"/>
                    </w:numPr>
                    <w:ind w:firstLineChars="0"/>
                    <w:jc w:val="center"/>
                    <w:rPr>
                      <w:rFonts w:ascii="Times New Roman" w:hAnsi="Times New Roman" w:eastAsia="宋体" w:cs="Times New Roman"/>
                      <w:szCs w:val="21"/>
                    </w:rPr>
                  </w:pPr>
                </w:p>
              </w:tc>
              <w:tc>
                <w:tcPr>
                  <w:tcW w:w="85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花岗岩</w:t>
                  </w:r>
                </w:p>
              </w:tc>
              <w:tc>
                <w:tcPr>
                  <w:tcW w:w="7230" w:type="dxa"/>
                  <w:vAlign w:val="center"/>
                </w:tcPr>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花岗岩属于酸性（SiO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gt;66%）岩浆岩中的侵入岩，为此类中最常见的一种岩石，多为浅肉红色、浅灰色、灰白色等。中粗粒、细粒结构，块状构造。也有一些为斑杂构造、球状构造、似片麻状构造等。主要矿物为石英、钾长石和酸性斜长石，次要矿物则为黑云母、角闪石，有时还有少量辉石。</w:t>
                  </w:r>
                </w:p>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花岗岩摩氏硬度在6左右，密度2.63～2.75g/cm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w:t>
                  </w:r>
                </w:p>
              </w:tc>
            </w:tr>
          </w:tbl>
          <w:p>
            <w:pPr>
              <w:spacing w:line="360" w:lineRule="auto"/>
              <w:ind w:firstLine="482" w:firstLineChars="200"/>
              <w:rPr>
                <w:rFonts w:ascii="Times New Roman" w:hAnsi="Times New Roman" w:cs="Times New Roman"/>
                <w:b/>
                <w:bCs/>
                <w:sz w:val="24"/>
                <w:szCs w:val="20"/>
              </w:rPr>
            </w:pPr>
            <w:r>
              <w:rPr>
                <w:rFonts w:ascii="Times New Roman" w:hAnsi="Times New Roman" w:cs="Times New Roman"/>
                <w:b/>
                <w:bCs/>
                <w:sz w:val="24"/>
                <w:szCs w:val="20"/>
              </w:rPr>
              <w:t>1.</w:t>
            </w:r>
            <w:r>
              <w:rPr>
                <w:rFonts w:hint="eastAsia" w:ascii="Times New Roman" w:hAnsi="Times New Roman" w:cs="Times New Roman"/>
                <w:b/>
                <w:bCs/>
                <w:sz w:val="24"/>
                <w:szCs w:val="20"/>
              </w:rPr>
              <w:t>1.7产品方案</w:t>
            </w:r>
          </w:p>
          <w:p>
            <w:pPr>
              <w:autoSpaceDE w:val="0"/>
              <w:autoSpaceDN w:val="0"/>
              <w:adjustRightInd w:val="0"/>
              <w:spacing w:line="360" w:lineRule="auto"/>
              <w:ind w:firstLine="480" w:firstLineChars="200"/>
              <w:jc w:val="left"/>
              <w:rPr>
                <w:rFonts w:ascii="Times New Roman" w:hAnsi="Times New Roman" w:cs="Times New Roman"/>
                <w:kern w:val="0"/>
                <w:sz w:val="24"/>
              </w:rPr>
            </w:pPr>
            <w:r>
              <w:rPr>
                <w:rFonts w:hint="eastAsia" w:ascii="Times New Roman" w:hAnsi="Times New Roman" w:cs="Times New Roman"/>
                <w:kern w:val="0"/>
                <w:sz w:val="24"/>
              </w:rPr>
              <w:t>本项目年生产花岗岩/大理石板45万m</w:t>
            </w:r>
            <w:r>
              <w:rPr>
                <w:rFonts w:hint="eastAsia" w:ascii="Times New Roman" w:hAnsi="Times New Roman" w:cs="Times New Roman"/>
                <w:kern w:val="0"/>
                <w:sz w:val="24"/>
                <w:vertAlign w:val="superscript"/>
              </w:rPr>
              <w:t>2</w:t>
            </w:r>
            <w:r>
              <w:rPr>
                <w:rFonts w:hint="eastAsia" w:ascii="Times New Roman" w:hAnsi="Times New Roman" w:cs="Times New Roman"/>
                <w:kern w:val="0"/>
                <w:sz w:val="24"/>
              </w:rPr>
              <w:t>/年、成品砂和碎石产品40万吨，产品方案详见</w:t>
            </w:r>
            <w:r>
              <w:rPr>
                <w:rFonts w:ascii="Times New Roman" w:hAnsi="Times New Roman" w:cs="Times New Roman"/>
                <w:kern w:val="0"/>
                <w:sz w:val="24"/>
              </w:rPr>
              <w:fldChar w:fldCharType="begin"/>
            </w:r>
            <w:r>
              <w:rPr>
                <w:rFonts w:ascii="Times New Roman" w:hAnsi="Times New Roman" w:cs="Times New Roman"/>
                <w:kern w:val="0"/>
                <w:sz w:val="24"/>
              </w:rPr>
              <w:instrText xml:space="preserve"> </w:instrText>
            </w:r>
            <w:r>
              <w:rPr>
                <w:rFonts w:hint="eastAsia" w:ascii="Times New Roman" w:hAnsi="Times New Roman" w:cs="Times New Roman"/>
                <w:kern w:val="0"/>
                <w:sz w:val="24"/>
              </w:rPr>
              <w:instrText xml:space="preserve">REF _Ref492653767 \h</w:instrText>
            </w:r>
            <w:r>
              <w:rPr>
                <w:rFonts w:ascii="Times New Roman" w:hAnsi="Times New Roman" w:cs="Times New Roman"/>
                <w:kern w:val="0"/>
                <w:sz w:val="24"/>
              </w:rPr>
              <w:instrText xml:space="preserve">  \* MERGEFORMAT </w:instrText>
            </w:r>
            <w:r>
              <w:rPr>
                <w:rFonts w:ascii="Times New Roman" w:hAnsi="Times New Roman" w:cs="Times New Roman"/>
                <w:kern w:val="0"/>
                <w:sz w:val="24"/>
              </w:rPr>
              <w:fldChar w:fldCharType="separate"/>
            </w:r>
            <w:r>
              <w:rPr>
                <w:rFonts w:hint="eastAsia" w:ascii="Times New Roman" w:hAnsi="Times New Roman" w:cs="Times New Roman"/>
                <w:kern w:val="0"/>
                <w:sz w:val="24"/>
              </w:rPr>
              <w:t>表1-</w:t>
            </w:r>
            <w:r>
              <w:rPr>
                <w:rFonts w:ascii="Times New Roman" w:hAnsi="Times New Roman" w:cs="Times New Roman"/>
                <w:kern w:val="0"/>
                <w:sz w:val="24"/>
              </w:rPr>
              <w:t>6</w:t>
            </w:r>
            <w:r>
              <w:rPr>
                <w:rFonts w:ascii="Times New Roman" w:hAnsi="Times New Roman" w:cs="Times New Roman"/>
                <w:kern w:val="0"/>
                <w:sz w:val="24"/>
              </w:rPr>
              <w:fldChar w:fldCharType="end"/>
            </w:r>
            <w:r>
              <w:rPr>
                <w:rFonts w:hint="eastAsia" w:ascii="Times New Roman" w:hAnsi="Times New Roman" w:cs="Times New Roman"/>
                <w:kern w:val="0"/>
                <w:sz w:val="24"/>
              </w:rPr>
              <w:t>。各产品具体产量根据市场需求确定。</w:t>
            </w:r>
          </w:p>
          <w:p>
            <w:pPr>
              <w:pStyle w:val="38"/>
              <w:spacing w:before="156"/>
              <w:rPr>
                <w:color w:val="auto"/>
              </w:rPr>
            </w:pPr>
            <w:bookmarkStart w:id="27" w:name="_Ref492653767"/>
            <w:r>
              <w:rPr>
                <w:rFonts w:hint="eastAsia" w:cs="Times New Roman"/>
                <w:color w:val="auto"/>
              </w:rPr>
              <w:t>表1-</w:t>
            </w:r>
            <w:r>
              <w:rPr>
                <w:rFonts w:cs="Times New Roman"/>
                <w:b w:val="0"/>
                <w:color w:val="auto"/>
              </w:rPr>
              <w:fldChar w:fldCharType="begin"/>
            </w:r>
            <w:r>
              <w:rPr>
                <w:rFonts w:cs="Times New Roman"/>
                <w:color w:val="auto"/>
              </w:rPr>
              <w:instrText xml:space="preserve"> </w:instrText>
            </w:r>
            <w:r>
              <w:rPr>
                <w:rFonts w:hint="eastAsia" w:cs="Times New Roman"/>
                <w:color w:val="auto"/>
              </w:rPr>
              <w:instrText xml:space="preserve">SEQ 表1- \* ARABIC</w:instrText>
            </w:r>
            <w:r>
              <w:rPr>
                <w:rFonts w:cs="Times New Roman"/>
                <w:color w:val="auto"/>
              </w:rPr>
              <w:instrText xml:space="preserve"> </w:instrText>
            </w:r>
            <w:r>
              <w:rPr>
                <w:rFonts w:cs="Times New Roman"/>
                <w:b w:val="0"/>
                <w:color w:val="auto"/>
              </w:rPr>
              <w:fldChar w:fldCharType="separate"/>
            </w:r>
            <w:r>
              <w:rPr>
                <w:rFonts w:cs="Times New Roman"/>
                <w:color w:val="auto"/>
              </w:rPr>
              <w:t>6</w:t>
            </w:r>
            <w:r>
              <w:rPr>
                <w:rFonts w:cs="Times New Roman"/>
                <w:b w:val="0"/>
                <w:color w:val="auto"/>
              </w:rPr>
              <w:fldChar w:fldCharType="end"/>
            </w:r>
            <w:bookmarkEnd w:id="27"/>
            <w:r>
              <w:rPr>
                <w:rFonts w:hint="eastAsia"/>
                <w:color w:val="auto"/>
              </w:rPr>
              <w:t xml:space="preserve"> </w:t>
            </w:r>
            <w:r>
              <w:rPr>
                <w:color w:val="auto"/>
              </w:rPr>
              <w:t xml:space="preserve"> 项目产品方案一览表</w:t>
            </w:r>
          </w:p>
          <w:tbl>
            <w:tblPr>
              <w:tblStyle w:val="25"/>
              <w:tblW w:w="878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056"/>
              <w:gridCol w:w="2056"/>
              <w:gridCol w:w="184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8"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056"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产品</w:t>
                  </w:r>
                </w:p>
              </w:tc>
              <w:tc>
                <w:tcPr>
                  <w:tcW w:w="2056"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规格/型号</w:t>
                  </w:r>
                </w:p>
              </w:tc>
              <w:tc>
                <w:tcPr>
                  <w:tcW w:w="184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年产量</w:t>
                  </w:r>
                </w:p>
              </w:tc>
              <w:tc>
                <w:tcPr>
                  <w:tcW w:w="2127"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8" w:type="dxa"/>
                  <w:vAlign w:val="center"/>
                </w:tcPr>
                <w:p>
                  <w:pPr>
                    <w:pStyle w:val="53"/>
                    <w:numPr>
                      <w:ilvl w:val="0"/>
                      <w:numId w:val="7"/>
                    </w:numPr>
                    <w:ind w:firstLineChars="0"/>
                    <w:jc w:val="center"/>
                    <w:rPr>
                      <w:rFonts w:ascii="Times New Roman" w:hAnsi="Times New Roman" w:eastAsia="宋体" w:cs="Times New Roman"/>
                      <w:szCs w:val="21"/>
                    </w:rPr>
                  </w:pPr>
                </w:p>
              </w:tc>
              <w:tc>
                <w:tcPr>
                  <w:tcW w:w="20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花岗岩/大理石板</w:t>
                  </w:r>
                </w:p>
              </w:tc>
              <w:tc>
                <w:tcPr>
                  <w:tcW w:w="20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根据客户需求而定</w:t>
                  </w:r>
                </w:p>
              </w:tc>
              <w:tc>
                <w:tcPr>
                  <w:tcW w:w="184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45万m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/年</w:t>
                  </w:r>
                </w:p>
              </w:tc>
              <w:tc>
                <w:tcPr>
                  <w:tcW w:w="212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约合1.89万吨/年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8" w:type="dxa"/>
                  <w:vAlign w:val="center"/>
                </w:tcPr>
                <w:p>
                  <w:pPr>
                    <w:pStyle w:val="53"/>
                    <w:numPr>
                      <w:ilvl w:val="0"/>
                      <w:numId w:val="7"/>
                    </w:numPr>
                    <w:ind w:firstLineChars="0"/>
                    <w:jc w:val="center"/>
                    <w:rPr>
                      <w:rFonts w:ascii="Times New Roman" w:hAnsi="Times New Roman" w:eastAsia="宋体" w:cs="Times New Roman"/>
                      <w:szCs w:val="21"/>
                    </w:rPr>
                  </w:pPr>
                </w:p>
              </w:tc>
              <w:tc>
                <w:tcPr>
                  <w:tcW w:w="20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成品砂</w:t>
                  </w:r>
                </w:p>
              </w:tc>
              <w:tc>
                <w:tcPr>
                  <w:tcW w:w="20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0～6mm</w:t>
                  </w:r>
                </w:p>
              </w:tc>
              <w:tc>
                <w:tcPr>
                  <w:tcW w:w="1842"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40万吨/年</w:t>
                  </w:r>
                </w:p>
              </w:tc>
              <w:tc>
                <w:tcPr>
                  <w:tcW w:w="2127"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各类砂石的具体年产量根据客户需求确定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8" w:type="dxa"/>
                  <w:vMerge w:val="restart"/>
                  <w:vAlign w:val="center"/>
                </w:tcPr>
                <w:p>
                  <w:pPr>
                    <w:pStyle w:val="53"/>
                    <w:numPr>
                      <w:ilvl w:val="0"/>
                      <w:numId w:val="7"/>
                    </w:numPr>
                    <w:ind w:firstLineChars="0"/>
                    <w:jc w:val="center"/>
                    <w:rPr>
                      <w:rFonts w:ascii="Times New Roman" w:hAnsi="Times New Roman" w:eastAsia="宋体" w:cs="Times New Roman"/>
                      <w:szCs w:val="21"/>
                    </w:rPr>
                  </w:pPr>
                </w:p>
              </w:tc>
              <w:tc>
                <w:tcPr>
                  <w:tcW w:w="20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碎石</w:t>
                  </w:r>
                </w:p>
              </w:tc>
              <w:tc>
                <w:tcPr>
                  <w:tcW w:w="20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u w:val="single"/>
                    </w:rPr>
                    <w:t>6～18mm</w:t>
                  </w:r>
                </w:p>
              </w:tc>
              <w:tc>
                <w:tcPr>
                  <w:tcW w:w="1842" w:type="dxa"/>
                  <w:vMerge w:val="continue"/>
                  <w:vAlign w:val="center"/>
                </w:tcPr>
                <w:p>
                  <w:pPr>
                    <w:jc w:val="center"/>
                    <w:rPr>
                      <w:rFonts w:ascii="Times New Roman" w:hAnsi="Times New Roman" w:eastAsia="宋体" w:cs="Times New Roman"/>
                      <w:szCs w:val="21"/>
                    </w:rPr>
                  </w:pPr>
                </w:p>
              </w:tc>
              <w:tc>
                <w:tcPr>
                  <w:tcW w:w="2127"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8" w:type="dxa"/>
                  <w:vMerge w:val="continue"/>
                  <w:vAlign w:val="center"/>
                </w:tcPr>
                <w:p>
                  <w:pPr>
                    <w:pStyle w:val="53"/>
                    <w:numPr>
                      <w:ilvl w:val="0"/>
                      <w:numId w:val="7"/>
                    </w:numPr>
                    <w:ind w:firstLineChars="0"/>
                    <w:jc w:val="center"/>
                    <w:rPr>
                      <w:rFonts w:ascii="Times New Roman" w:hAnsi="Times New Roman" w:eastAsia="宋体" w:cs="Times New Roman"/>
                      <w:szCs w:val="21"/>
                    </w:rPr>
                  </w:pPr>
                </w:p>
              </w:tc>
              <w:tc>
                <w:tcPr>
                  <w:tcW w:w="2056" w:type="dxa"/>
                  <w:vMerge w:val="continue"/>
                  <w:vAlign w:val="center"/>
                </w:tcPr>
                <w:p>
                  <w:pPr>
                    <w:jc w:val="center"/>
                    <w:rPr>
                      <w:rFonts w:ascii="Times New Roman" w:hAnsi="Times New Roman" w:eastAsia="宋体" w:cs="Times New Roman"/>
                      <w:szCs w:val="21"/>
                    </w:rPr>
                  </w:pPr>
                </w:p>
              </w:tc>
              <w:tc>
                <w:tcPr>
                  <w:tcW w:w="205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18～30mm</w:t>
                  </w:r>
                </w:p>
              </w:tc>
              <w:tc>
                <w:tcPr>
                  <w:tcW w:w="1842" w:type="dxa"/>
                  <w:vMerge w:val="continue"/>
                  <w:vAlign w:val="center"/>
                </w:tcPr>
                <w:p>
                  <w:pPr>
                    <w:jc w:val="center"/>
                    <w:rPr>
                      <w:rFonts w:ascii="Times New Roman" w:hAnsi="Times New Roman" w:eastAsia="宋体" w:cs="Times New Roman"/>
                      <w:szCs w:val="21"/>
                    </w:rPr>
                  </w:pPr>
                </w:p>
              </w:tc>
              <w:tc>
                <w:tcPr>
                  <w:tcW w:w="2127" w:type="dxa"/>
                  <w:vMerge w:val="continue"/>
                  <w:vAlign w:val="center"/>
                </w:tcPr>
                <w:p>
                  <w:pPr>
                    <w:jc w:val="center"/>
                    <w:rPr>
                      <w:rFonts w:ascii="Times New Roman" w:hAnsi="Times New Roman" w:eastAsia="宋体" w:cs="Times New Roman"/>
                      <w:szCs w:val="21"/>
                    </w:rPr>
                  </w:pPr>
                </w:p>
              </w:tc>
            </w:tr>
          </w:tbl>
          <w:p>
            <w:pPr>
              <w:spacing w:line="360" w:lineRule="auto"/>
              <w:ind w:firstLine="482" w:firstLineChars="200"/>
              <w:rPr>
                <w:rFonts w:ascii="Times New Roman" w:hAnsi="Times New Roman" w:cs="Times New Roman"/>
                <w:kern w:val="0"/>
                <w:sz w:val="24"/>
              </w:rPr>
            </w:pPr>
            <w:r>
              <w:rPr>
                <w:rFonts w:ascii="Times New Roman" w:hAnsi="Times New Roman" w:eastAsia="宋体" w:cs="Times New Roman"/>
                <w:b/>
                <w:bCs/>
                <w:kern w:val="0"/>
                <w:sz w:val="24"/>
              </w:rPr>
              <w:t>1.</w:t>
            </w:r>
            <w:r>
              <w:rPr>
                <w:rFonts w:hint="eastAsia" w:ascii="Times New Roman" w:hAnsi="Times New Roman" w:eastAsia="宋体" w:cs="Times New Roman"/>
                <w:b/>
                <w:bCs/>
                <w:kern w:val="0"/>
                <w:sz w:val="24"/>
              </w:rPr>
              <w:t>1.8</w:t>
            </w:r>
            <w:r>
              <w:rPr>
                <w:rFonts w:hint="eastAsia" w:ascii="Times New Roman" w:hAnsi="Times New Roman" w:cs="Times New Roman"/>
                <w:b/>
                <w:bCs/>
                <w:sz w:val="24"/>
                <w:szCs w:val="20"/>
              </w:rPr>
              <w:t>总平面布置</w:t>
            </w:r>
          </w:p>
          <w:p>
            <w:pPr>
              <w:autoSpaceDE w:val="0"/>
              <w:autoSpaceDN w:val="0"/>
              <w:adjustRightIn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本项目占地面积约6400m</w:t>
            </w:r>
            <w:r>
              <w:rPr>
                <w:rFonts w:hint="eastAsia" w:ascii="Times New Roman" w:hAnsi="Times New Roman" w:cs="Times New Roman"/>
                <w:sz w:val="24"/>
                <w:vertAlign w:val="superscript"/>
              </w:rPr>
              <w:t>2</w:t>
            </w:r>
            <w:r>
              <w:rPr>
                <w:rFonts w:hint="eastAsia" w:ascii="Times New Roman" w:hAnsi="Times New Roman" w:cs="Times New Roman"/>
                <w:sz w:val="24"/>
              </w:rPr>
              <w:t>，用地地块近似为矩形，分为石材加工车间、砂石生产车间、石材原料和产品存放车间、砂石原料堆场和成品堆场、办公用房等。大门位于厂区西南侧，作为车辆及人流出入口。厂区南部为办公辅助用房（值班室、机修间、危废间等），厂区北部为石材加工车间，厂区中部为石材原料和产品堆场，厂区东部为砂石生产车间和成品砂石堆场等（车间内按生产工艺流程依次布设相关设备）。</w:t>
            </w:r>
          </w:p>
          <w:p>
            <w:pPr>
              <w:autoSpaceDE w:val="0"/>
              <w:autoSpaceDN w:val="0"/>
              <w:adjustRightIn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从总体平面布置上来看，该项目功能区划分比较明确，厂区布置紧凑合理，生产线布设可减少产品运输距离，厂区运输流畅。项目生产区和办公区域分开布置，且生产区位于办公区北侧，中间间隔有石板产品堆场；邵东县常年主导风为东风，年出现频率为7.9%，总体来说，营运期废气排放对办公生活区及南侧居民点影响不大。项目切割设备、破碎和筛分设备均位于厂区生产车间内，场地经平整后四周均有山坡阻隔，且远离北侧和南侧的居民点，利用车间墙体和山坡的阻隔以及距离衰减作用最大程度减少噪声敏感目标的影响。总体而言，项目平面布置较为合理。</w:t>
            </w:r>
          </w:p>
          <w:p>
            <w:pPr>
              <w:autoSpaceDE w:val="0"/>
              <w:autoSpaceDN w:val="0"/>
              <w:adjustRightIn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项目平面布置详见附图2。</w:t>
            </w:r>
          </w:p>
          <w:p>
            <w:pPr>
              <w:spacing w:line="360" w:lineRule="auto"/>
              <w:ind w:firstLine="482" w:firstLineChars="200"/>
              <w:rPr>
                <w:rFonts w:ascii="Times New Roman" w:hAnsi="Times New Roman" w:cs="Times New Roman"/>
                <w:kern w:val="0"/>
                <w:sz w:val="24"/>
              </w:rPr>
            </w:pPr>
            <w:r>
              <w:rPr>
                <w:rFonts w:ascii="Times New Roman" w:hAnsi="Times New Roman" w:eastAsia="宋体" w:cs="Times New Roman"/>
                <w:b/>
                <w:bCs/>
                <w:kern w:val="0"/>
                <w:sz w:val="24"/>
              </w:rPr>
              <w:t>1.</w:t>
            </w:r>
            <w:r>
              <w:rPr>
                <w:rFonts w:hint="eastAsia" w:ascii="Times New Roman" w:hAnsi="Times New Roman" w:eastAsia="宋体" w:cs="Times New Roman"/>
                <w:b/>
                <w:bCs/>
                <w:kern w:val="0"/>
                <w:sz w:val="24"/>
              </w:rPr>
              <w:t>1.9</w:t>
            </w:r>
            <w:r>
              <w:rPr>
                <w:rFonts w:ascii="Times New Roman" w:hAnsi="Times New Roman" w:eastAsia="宋体" w:cs="Times New Roman"/>
                <w:b/>
                <w:bCs/>
                <w:kern w:val="0"/>
                <w:sz w:val="24"/>
              </w:rPr>
              <w:t>公用工程</w:t>
            </w:r>
          </w:p>
          <w:p>
            <w:pPr>
              <w:autoSpaceDE w:val="0"/>
              <w:autoSpaceDN w:val="0"/>
              <w:adjustRightIn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（1）给水：</w:t>
            </w:r>
            <w:r>
              <w:rPr>
                <w:rFonts w:hint="eastAsia" w:ascii="Times New Roman" w:hAnsi="Times New Roman" w:cs="Times New Roman"/>
                <w:sz w:val="24"/>
              </w:rPr>
              <w:t>项目生活用水和生产用水由区域自来水提供。根据核算，项目生活用水量为135m</w:t>
            </w:r>
            <w:r>
              <w:rPr>
                <w:rFonts w:hint="eastAsia" w:ascii="Times New Roman" w:hAnsi="Times New Roman" w:cs="Times New Roman"/>
                <w:sz w:val="24"/>
                <w:vertAlign w:val="superscript"/>
              </w:rPr>
              <w:t>3</w:t>
            </w:r>
            <w:r>
              <w:rPr>
                <w:rFonts w:hint="eastAsia" w:ascii="Times New Roman" w:hAnsi="Times New Roman" w:cs="Times New Roman"/>
                <w:sz w:val="24"/>
              </w:rPr>
              <w:t>/a，生产补充用水量为11700m</w:t>
            </w:r>
            <w:r>
              <w:rPr>
                <w:rFonts w:hint="eastAsia" w:ascii="Times New Roman" w:hAnsi="Times New Roman" w:cs="Times New Roman"/>
                <w:sz w:val="24"/>
                <w:vertAlign w:val="superscript"/>
              </w:rPr>
              <w:t>3</w:t>
            </w:r>
            <w:r>
              <w:rPr>
                <w:rFonts w:hint="eastAsia" w:ascii="Times New Roman" w:hAnsi="Times New Roman" w:cs="Times New Roman"/>
                <w:sz w:val="24"/>
              </w:rPr>
              <w:t>/a。</w:t>
            </w:r>
          </w:p>
          <w:p>
            <w:pPr>
              <w:autoSpaceDE w:val="0"/>
              <w:autoSpaceDN w:val="0"/>
              <w:adjustRightIn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（2）排水</w:t>
            </w:r>
          </w:p>
          <w:p>
            <w:pPr>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项目营运期废水主要为生活污水、石材切割废水、车辆清洗废水和初期雨水，生活污水产生量较小，通过化粪池处理后，定期掏出，作为农肥；石材切割废水、车辆清洗废水和初期雨水经沉淀处理后回用。</w:t>
            </w:r>
          </w:p>
          <w:p>
            <w:pPr>
              <w:autoSpaceDE w:val="0"/>
              <w:autoSpaceDN w:val="0"/>
              <w:adjustRightIn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（3）供</w:t>
            </w:r>
            <w:r>
              <w:rPr>
                <w:rFonts w:hint="eastAsia" w:ascii="Times New Roman" w:hAnsi="Times New Roman" w:cs="Times New Roman"/>
                <w:sz w:val="24"/>
              </w:rPr>
              <w:t>配</w:t>
            </w:r>
            <w:r>
              <w:rPr>
                <w:rFonts w:ascii="Times New Roman" w:hAnsi="Times New Roman" w:cs="Times New Roman"/>
                <w:sz w:val="24"/>
              </w:rPr>
              <w:t>电：</w:t>
            </w:r>
            <w:r>
              <w:rPr>
                <w:rFonts w:hint="eastAsia" w:ascii="Times New Roman" w:hAnsi="Times New Roman" w:cs="Times New Roman"/>
                <w:sz w:val="24"/>
              </w:rPr>
              <w:t>本项目由区域供配电系统供电，项目用电负荷主要是生产车间动力及照明用电，经车间内设配电设备调压配电后，供给各用电设备。根据建设单位提供的资料，项目生产设备总功率约为330KW，年用电量约100万KW</w:t>
            </w:r>
            <w:r>
              <w:t xml:space="preserve"> </w:t>
            </w:r>
            <w:r>
              <w:rPr>
                <w:rFonts w:ascii="Times New Roman" w:hAnsi="Times New Roman" w:cs="Times New Roman"/>
                <w:sz w:val="24"/>
              </w:rPr>
              <w:t>▪</w:t>
            </w:r>
            <w:r>
              <w:rPr>
                <w:rFonts w:hint="eastAsia" w:ascii="Times New Roman" w:hAnsi="Times New Roman" w:cs="Times New Roman"/>
                <w:sz w:val="24"/>
              </w:rPr>
              <w:t xml:space="preserve"> h。</w:t>
            </w:r>
          </w:p>
          <w:p>
            <w:pPr>
              <w:autoSpaceDE w:val="0"/>
              <w:autoSpaceDN w:val="0"/>
              <w:adjustRightIn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（4）</w:t>
            </w:r>
            <w:r>
              <w:rPr>
                <w:rFonts w:hint="eastAsia" w:ascii="Times New Roman" w:hAnsi="Times New Roman" w:cs="Times New Roman"/>
                <w:sz w:val="24"/>
              </w:rPr>
              <w:t>供暖、制冷：本项目办公室等场所采用挂式分体空调制冷和供暖。</w:t>
            </w:r>
          </w:p>
          <w:p>
            <w:pPr>
              <w:spacing w:line="360" w:lineRule="auto"/>
              <w:ind w:firstLine="482" w:firstLineChars="200"/>
              <w:rPr>
                <w:rFonts w:ascii="Times New Roman" w:hAnsi="Times New Roman" w:cs="Times New Roman"/>
                <w:b/>
                <w:bCs/>
                <w:sz w:val="24"/>
                <w:szCs w:val="20"/>
              </w:rPr>
            </w:pPr>
            <w:r>
              <w:rPr>
                <w:rFonts w:hint="eastAsia" w:ascii="Times New Roman" w:hAnsi="Times New Roman" w:cs="Times New Roman"/>
                <w:b/>
                <w:bCs/>
                <w:sz w:val="24"/>
                <w:szCs w:val="20"/>
              </w:rPr>
              <w:t>1.1.10劳动定员及工作制度</w:t>
            </w:r>
          </w:p>
          <w:p>
            <w:pPr>
              <w:spacing w:line="360" w:lineRule="auto"/>
              <w:ind w:firstLine="482"/>
              <w:rPr>
                <w:rFonts w:ascii="Times New Roman" w:hAnsi="Times New Roman" w:cs="Times New Roman"/>
                <w:sz w:val="24"/>
              </w:rPr>
            </w:pPr>
            <w:r>
              <w:rPr>
                <w:rFonts w:hint="eastAsia" w:ascii="Times New Roman" w:hAnsi="Times New Roman" w:cs="Times New Roman"/>
                <w:sz w:val="24"/>
              </w:rPr>
              <w:t>（1）劳动定员：劳动定员10人，均为周边村民，不在厂内食宿。</w:t>
            </w:r>
          </w:p>
          <w:p>
            <w:pPr>
              <w:spacing w:line="360" w:lineRule="auto"/>
              <w:ind w:firstLine="482"/>
              <w:rPr>
                <w:rFonts w:ascii="Times New Roman" w:hAnsi="Times New Roman" w:cs="Times New Roman"/>
                <w:sz w:val="24"/>
              </w:rPr>
            </w:pPr>
            <w:r>
              <w:rPr>
                <w:rFonts w:hint="eastAsia" w:ascii="Times New Roman" w:hAnsi="Times New Roman" w:cs="Times New Roman"/>
                <w:sz w:val="24"/>
              </w:rPr>
              <w:t>（2）工作制度：年生产300天，采用白天1班10小时工作制（7:00～12:00，14:00～19:00），夜间不进行生产。</w:t>
            </w:r>
          </w:p>
          <w:p>
            <w:pPr>
              <w:spacing w:line="360" w:lineRule="auto"/>
              <w:ind w:firstLine="482" w:firstLineChars="200"/>
              <w:rPr>
                <w:rFonts w:ascii="Times New Roman" w:hAnsi="Times New Roman" w:cs="Times New Roman"/>
                <w:b/>
                <w:bCs/>
                <w:sz w:val="24"/>
                <w:szCs w:val="20"/>
              </w:rPr>
            </w:pPr>
            <w:r>
              <w:rPr>
                <w:rFonts w:hint="eastAsia" w:ascii="Times New Roman" w:hAnsi="Times New Roman" w:cs="Times New Roman"/>
                <w:b/>
                <w:bCs/>
                <w:sz w:val="24"/>
                <w:szCs w:val="20"/>
              </w:rPr>
              <w:t>1.1.11建设进度</w:t>
            </w:r>
          </w:p>
          <w:p>
            <w:pPr>
              <w:spacing w:line="360" w:lineRule="auto"/>
              <w:ind w:firstLine="482"/>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租赁邵东县火厂坪镇龙新村李家屋组的集体土地进行建设，预计2019年5月开工建设，2019年8月建成投产。</w:t>
            </w:r>
          </w:p>
        </w:tc>
      </w:tr>
      <w:tr>
        <w:tblPrEx>
          <w:tblBorders>
            <w:top w:val="single" w:color="auto" w:sz="18" w:space="0"/>
            <w:left w:val="single" w:color="auto" w:sz="18" w:space="0"/>
            <w:bottom w:val="single" w:color="auto" w:sz="12"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9246" w:type="dxa"/>
            <w:gridSpan w:val="7"/>
          </w:tcPr>
          <w:p>
            <w:pPr>
              <w:spacing w:line="360" w:lineRule="auto"/>
              <w:rPr>
                <w:rFonts w:ascii="Times New Roman" w:hAnsi="Times New Roman" w:cs="Times New Roman"/>
                <w:b/>
                <w:bCs/>
                <w:sz w:val="28"/>
                <w:szCs w:val="28"/>
              </w:rPr>
            </w:pPr>
            <w:r>
              <w:rPr>
                <w:rFonts w:hint="eastAsia" w:ascii="Times New Roman" w:hAnsi="Times New Roman" w:cs="Times New Roman"/>
                <w:b/>
                <w:bCs/>
                <w:sz w:val="28"/>
                <w:szCs w:val="28"/>
              </w:rPr>
              <w:t>1.2</w:t>
            </w:r>
            <w:r>
              <w:rPr>
                <w:rFonts w:ascii="Times New Roman" w:hAnsi="Times New Roman" w:cs="Times New Roman"/>
                <w:b/>
                <w:bCs/>
                <w:sz w:val="28"/>
                <w:szCs w:val="28"/>
              </w:rPr>
              <w:t>与本项目有关的原有污染情况及主要环境问题：</w:t>
            </w:r>
          </w:p>
          <w:p>
            <w:pPr>
              <w:spacing w:line="360" w:lineRule="auto"/>
              <w:ind w:firstLine="482"/>
              <w:rPr>
                <w:rFonts w:ascii="Times New Roman" w:hAnsi="Times New Roman" w:cs="Times New Roman"/>
                <w:sz w:val="24"/>
              </w:rPr>
            </w:pPr>
            <w:r>
              <w:rPr>
                <w:rFonts w:hint="eastAsia" w:ascii="Times New Roman" w:hAnsi="Times New Roman" w:cs="Times New Roman"/>
                <w:sz w:val="24"/>
              </w:rPr>
              <w:t>项目位于邵东县火厂坪镇龙新村李家屋组，属于农村地区，项目所在地现为空地，拟建地周边为农田和水塘，无原有污染问题。</w:t>
            </w:r>
          </w:p>
          <w:p>
            <w:pPr>
              <w:spacing w:line="360" w:lineRule="auto"/>
              <w:ind w:firstLine="482"/>
              <w:rPr>
                <w:rFonts w:ascii="Times New Roman" w:hAnsi="Times New Roman" w:cs="Times New Roman"/>
                <w:sz w:val="24"/>
              </w:rPr>
            </w:pPr>
            <w:r>
              <w:rPr>
                <w:rFonts w:hint="eastAsia" w:ascii="Times New Roman" w:hAnsi="Times New Roman" w:cs="Times New Roman"/>
                <w:sz w:val="24"/>
              </w:rPr>
              <w:t>拟建场地东北向400m处为一采石场，主要污染为粉尘、噪声等。</w:t>
            </w:r>
          </w:p>
          <w:p>
            <w:pPr>
              <w:spacing w:line="360" w:lineRule="auto"/>
              <w:ind w:firstLine="482"/>
              <w:rPr>
                <w:rFonts w:ascii="Times New Roman" w:hAnsi="Times New Roman" w:cs="Times New Roman"/>
                <w:sz w:val="24"/>
              </w:rPr>
            </w:pPr>
          </w:p>
        </w:tc>
      </w:tr>
    </w:tbl>
    <w:p>
      <w:pPr>
        <w:widowControl/>
        <w:jc w:val="left"/>
        <w:rPr>
          <w:rFonts w:ascii="Times New Roman" w:hAnsi="Times New Roman" w:cs="Times New Roman"/>
        </w:rPr>
        <w:sectPr>
          <w:footerReference r:id="rId6" w:type="default"/>
          <w:pgSz w:w="11906" w:h="16838"/>
          <w:pgMar w:top="1440" w:right="1418" w:bottom="1440" w:left="1418" w:header="851" w:footer="992" w:gutter="0"/>
          <w:pgNumType w:start="1"/>
          <w:cols w:space="720" w:num="1"/>
          <w:docGrid w:type="lines" w:linePitch="312" w:charSpace="0"/>
        </w:sectPr>
      </w:pPr>
    </w:p>
    <w:p>
      <w:pPr>
        <w:pStyle w:val="2"/>
      </w:pPr>
      <w:bookmarkStart w:id="28" w:name="_Toc7464056"/>
      <w:bookmarkStart w:id="29" w:name="_Toc10779"/>
      <w:bookmarkStart w:id="30" w:name="_Toc20040"/>
      <w:r>
        <w:t>二、建设项目所在地自然环境简况</w:t>
      </w:r>
      <w:bookmarkEnd w:id="28"/>
      <w:bookmarkEnd w:id="29"/>
      <w:bookmarkEnd w:id="30"/>
    </w:p>
    <w:tbl>
      <w:tblPr>
        <w:tblStyle w:val="25"/>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63" w:hRule="atLeast"/>
          <w:jc w:val="center"/>
        </w:trPr>
        <w:tc>
          <w:tcPr>
            <w:tcW w:w="9286" w:type="dxa"/>
            <w:tcBorders>
              <w:top w:val="single" w:color="auto" w:sz="12" w:space="0"/>
              <w:left w:val="single" w:color="auto" w:sz="12" w:space="0"/>
              <w:bottom w:val="single" w:color="auto" w:sz="6" w:space="0"/>
              <w:right w:val="single" w:color="auto" w:sz="12" w:space="0"/>
            </w:tcBorders>
          </w:tcPr>
          <w:p>
            <w:pPr>
              <w:spacing w:line="360" w:lineRule="auto"/>
              <w:rPr>
                <w:rFonts w:ascii="Times New Roman" w:hAnsi="Times New Roman" w:eastAsia="黑体" w:cs="Times New Roman"/>
                <w:b/>
                <w:bCs/>
                <w:sz w:val="28"/>
              </w:rPr>
            </w:pPr>
            <w:r>
              <w:rPr>
                <w:rFonts w:hint="eastAsia" w:ascii="Times New Roman" w:hAnsi="Times New Roman" w:eastAsia="黑体" w:cs="Times New Roman"/>
                <w:b/>
                <w:bCs/>
                <w:sz w:val="28"/>
              </w:rPr>
              <w:t>2.1</w:t>
            </w:r>
            <w:r>
              <w:rPr>
                <w:rFonts w:ascii="Times New Roman" w:hAnsi="Times New Roman" w:eastAsia="黑体" w:cs="Times New Roman"/>
                <w:b/>
                <w:bCs/>
                <w:sz w:val="28"/>
              </w:rPr>
              <w:t>自然环境简况（地形、地貌、地质、气候、气象、水文、植被、生物多样性等）：</w:t>
            </w:r>
          </w:p>
          <w:p>
            <w:pPr>
              <w:spacing w:line="360" w:lineRule="auto"/>
              <w:ind w:firstLine="470" w:firstLineChars="195"/>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1.1地理位置</w:t>
            </w:r>
            <w:r>
              <w:rPr>
                <w:rFonts w:hint="eastAsia" w:ascii="Times New Roman" w:hAnsi="Times New Roman" w:cs="Times New Roman"/>
                <w:b/>
                <w:sz w:val="24"/>
              </w:rPr>
              <w:t>与交通</w:t>
            </w:r>
          </w:p>
          <w:p>
            <w:pPr>
              <w:spacing w:line="360" w:lineRule="auto"/>
              <w:ind w:firstLine="480" w:firstLineChars="200"/>
              <w:rPr>
                <w:rFonts w:ascii="Times New Roman" w:hAnsi="Times New Roman" w:cs="Times New Roman"/>
                <w:sz w:val="24"/>
              </w:rPr>
            </w:pPr>
            <w:r>
              <w:rPr>
                <w:rFonts w:ascii="Times New Roman" w:hAnsi="Times New Roman" w:cs="Times New Roman"/>
                <w:bCs/>
                <w:sz w:val="24"/>
              </w:rPr>
              <w:t>邵东县位于邵阳市东郊，东连双峰、衡阳，南邻祁东，西接邵阳双清区，大祥区，邵阳县，北交新邵、涟源，邵东县处东经111°30′-112°05′，北纬26 °50′-27°28′之间。南北长59公里，东西宽56.7公里，总面积1768.75平方公里。</w:t>
            </w:r>
            <w:r>
              <w:rPr>
                <w:rFonts w:hint="eastAsia" w:ascii="Times New Roman" w:hAnsi="Times New Roman" w:cs="Times New Roman"/>
                <w:bCs/>
                <w:sz w:val="24"/>
              </w:rPr>
              <w:t>邵东县县境内交通便捷，娄邵铁路横穿县城，省道315线、320国道和上瑞高速穿越境内，县城设两市镇，县城至省会长沙市217km，至邵阳市区27km。</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火厂坪镇位于邵东县中部，东与杨桥镇、佘田桥镇接壤，南与野鸡坪镇、简家陇乡交界，西与仙槎镇、周官桥乡毗连，北与砂石镇、流光岭镇相邻，总面积97.15平方公里。</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本项目位于</w:t>
            </w:r>
            <w:r>
              <w:rPr>
                <w:rFonts w:hint="eastAsia" w:ascii="Times New Roman" w:hAnsi="Times New Roman" w:cs="Times New Roman"/>
                <w:sz w:val="24"/>
              </w:rPr>
              <w:t>邵东县火厂坪镇龙新村李家屋组，火厂坪镇区东南侧2.5km处，项目中心地理坐标</w:t>
            </w:r>
            <w:r>
              <w:rPr>
                <w:rFonts w:ascii="Times New Roman" w:hAnsi="Times New Roman" w:cs="Times New Roman"/>
                <w:sz w:val="24"/>
              </w:rPr>
              <w:t>为东经111°54′54.78″、北纬29°10′09.45″，场地</w:t>
            </w:r>
            <w:r>
              <w:rPr>
                <w:rFonts w:hint="eastAsia" w:ascii="Times New Roman" w:hAnsi="Times New Roman" w:cs="Times New Roman"/>
                <w:sz w:val="24"/>
              </w:rPr>
              <w:t>出口即与道路相连，交通便利。项目具体地理位置见附图1。</w:t>
            </w:r>
          </w:p>
          <w:p>
            <w:pPr>
              <w:spacing w:line="360" w:lineRule="auto"/>
              <w:ind w:firstLine="470" w:firstLineChars="195"/>
              <w:rPr>
                <w:rFonts w:ascii="Times New Roman" w:hAnsi="Times New Roman" w:cs="Times New Roman"/>
                <w:b/>
                <w:sz w:val="24"/>
              </w:rPr>
            </w:pPr>
            <w:r>
              <w:rPr>
                <w:rFonts w:hint="eastAsia" w:ascii="Times New Roman" w:hAnsi="Times New Roman" w:cs="Times New Roman"/>
                <w:b/>
                <w:sz w:val="24"/>
              </w:rPr>
              <w:t>2.1.2</w:t>
            </w:r>
            <w:r>
              <w:rPr>
                <w:rFonts w:ascii="Times New Roman" w:hAnsi="Times New Roman" w:cs="Times New Roman"/>
                <w:b/>
                <w:sz w:val="24"/>
              </w:rPr>
              <w:t>地形、地貌、地质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邵东县境地势南北崛起，中部抬升向东西倾斜。北部边境的龙山余脉、南部边境的衡山余脉，构成南北高峻地形向中部倾斜，形成南西—北东向的阶梯状长廊地带。北起斫曹，向南经光陂、廉桥、流泽、砂石、火厂坪仿佛一条纵轴线，地势稍微隆起，成为境内邵水（资江水系）、蒸水、测水（湘江水系）的分水岭。中部丘陵多为北东—南西向分布。</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境域地貌大致分为三类：一为丘陵冈地，分布于县境各地，面积162.31万亩，占全县面积的61.18%。二为平地，境内平地俗称大田塘，分布于邵水、蒸水的河谷地段，相对高度在10米以下，坡度小于5度，面积28.78万亩，占全县面积的10.85%。三是山地与山脉，境内山地多为低山地貌，相对高度200～400米，坡度25～30度，面积约57.54万亩，占全县面积的21.69%，主要分布于县境的东南部、南部和北部地区与邻县接壤处有中低山地貌。</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2.1.3气象气候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邵东</w:t>
            </w:r>
            <w:r>
              <w:rPr>
                <w:rFonts w:hint="eastAsia" w:ascii="Times New Roman" w:hAnsi="Times New Roman" w:cs="Times New Roman"/>
                <w:sz w:val="24"/>
              </w:rPr>
              <w:t>县</w:t>
            </w:r>
            <w:r>
              <w:rPr>
                <w:rFonts w:ascii="Times New Roman" w:hAnsi="Times New Roman" w:cs="Times New Roman"/>
                <w:sz w:val="24"/>
              </w:rPr>
              <w:t>属亚热带季风湿润气候区，气候温和，四季分明，雨量充沛。春多阴雨，夏暑期长，冬寒期短。</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火厂坪镇属丘陵地区，地形地貌形态多样，山、丘、岗、平原俱全，以山地丘陵为主，地势起伏较大。地处“衡邵干旱走廊”，素有“滴水流三阳”之称。镇域内有一条美丽的桐江河，逆势向西流。镇域地处亚热带季风气候区，气候温和，四季分明。</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项目所在区域</w:t>
            </w:r>
            <w:r>
              <w:rPr>
                <w:rFonts w:ascii="Times New Roman" w:hAnsi="Times New Roman" w:cs="Times New Roman"/>
                <w:sz w:val="24"/>
              </w:rPr>
              <w:t>主要气象参数如下：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极端最高气温：          39</w:t>
            </w:r>
            <w:r>
              <w:rPr>
                <w:rFonts w:hint="eastAsia" w:ascii="宋体" w:hAnsi="宋体" w:eastAsia="宋体" w:cs="宋体"/>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极端最低气温：          -7.3</w:t>
            </w:r>
            <w:r>
              <w:rPr>
                <w:rFonts w:hint="eastAsia" w:ascii="宋体" w:hAnsi="宋体" w:eastAsia="宋体" w:cs="宋体"/>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历年平均气温：          17</w:t>
            </w:r>
            <w:r>
              <w:rPr>
                <w:rFonts w:hint="eastAsia" w:ascii="宋体" w:hAnsi="宋体" w:eastAsia="宋体" w:cs="宋体"/>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多年平均降雨量：        1150-1350mm</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年最大降雨量：          1910mm</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枯水年平均降雨量：      874mm</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最大日降雨量：          151mm</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年平均日照时数：        1517.9h</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年平均无霜期：          270 天</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常年主导风为东</w:t>
            </w:r>
            <w:r>
              <w:rPr>
                <w:rFonts w:ascii="Times New Roman" w:hAnsi="Times New Roman" w:cs="Times New Roman"/>
                <w:bCs/>
                <w:sz w:val="24"/>
              </w:rPr>
              <w:t>风，年出现频率为7.9%。冬季（1月）以ENE风为主，出现频率为11%；春季（4月）以E风为主，出现频率为 9.3%，夏季（7月）以SE风为主，出现频率为10.9%；秋季（十月）以NNE风为主，出现频率为9.7%。全年静风频率为 28.4%，夏季静风频率较低为22.7%，其他季节为30%左右，年平均风速为1.7m/s。</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2.1.4水文</w:t>
            </w:r>
          </w:p>
          <w:p>
            <w:pPr>
              <w:spacing w:line="360" w:lineRule="auto"/>
              <w:ind w:firstLine="480"/>
              <w:rPr>
                <w:rFonts w:ascii="Times New Roman" w:hAnsi="Times New Roman" w:cs="Times New Roman"/>
                <w:bCs/>
                <w:sz w:val="24"/>
              </w:rPr>
            </w:pPr>
            <w:r>
              <w:rPr>
                <w:rFonts w:ascii="Times New Roman" w:hAnsi="Times New Roman" w:cs="Times New Roman"/>
                <w:bCs/>
                <w:sz w:val="24"/>
              </w:rPr>
              <w:t>邵东境内有邵水、蒸水、测水三大地表水系，蒸水、测水向东流入湘江，邵水向西注入资江，总径流量年均24.87亿立方米。</w:t>
            </w:r>
          </w:p>
          <w:p>
            <w:pPr>
              <w:spacing w:line="360" w:lineRule="auto"/>
              <w:ind w:firstLine="480"/>
              <w:rPr>
                <w:rFonts w:ascii="Times New Roman" w:hAnsi="Times New Roman" w:cs="Times New Roman"/>
                <w:bCs/>
                <w:sz w:val="24"/>
              </w:rPr>
            </w:pPr>
            <w:r>
              <w:rPr>
                <w:rFonts w:ascii="Times New Roman" w:hAnsi="Times New Roman" w:cs="Times New Roman"/>
                <w:bCs/>
                <w:sz w:val="24"/>
              </w:rPr>
              <w:t>蒸水，全长约200km，是湘江一条较大的支流，俗称草河。它发源于邵东县最高峰大云山脚下，于衡阳县金兰镇入境，呈“乙”字型，流经该县三湖镇、渣江镇、台源镇、西渡、三塘，呆鹰岭等地，于石鼓区注入湘江。</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侧水</w:t>
            </w:r>
            <w:r>
              <w:rPr>
                <w:rFonts w:ascii="Times New Roman" w:hAnsi="Times New Roman" w:cs="Times New Roman"/>
                <w:bCs/>
                <w:sz w:val="24"/>
              </w:rPr>
              <w:t>为湘江二级支流、涟水一级支流，发源于邵东县古塘冲，流经邵东县砂石、双江桥，双峰县测水桥、湄水桥、底洲塘、永丰镇、湾头、厅埠头，于双峰县溪口汇入涟水，沿途纳洪福铺、刘家湾、翔德堂、石子江、深江、泥湾段、城坪、四安埠沙河、金溪、小窑等支流，河道全长105km，河流坡降1.07‰，流域面积1822km。</w:t>
            </w:r>
          </w:p>
          <w:p>
            <w:pPr>
              <w:spacing w:line="360" w:lineRule="auto"/>
              <w:ind w:firstLine="480"/>
              <w:rPr>
                <w:rFonts w:ascii="Times New Roman" w:hAnsi="Times New Roman" w:cs="Times New Roman"/>
                <w:bCs/>
                <w:sz w:val="24"/>
              </w:rPr>
            </w:pPr>
            <w:r>
              <w:rPr>
                <w:rFonts w:ascii="Times New Roman" w:hAnsi="Times New Roman" w:cs="Times New Roman"/>
                <w:bCs/>
                <w:sz w:val="24"/>
              </w:rPr>
              <w:t>邵水发源于邵东县双凤乡回龙峰西北麓南冲，经周官桥、两市塘、牛马司、云水铺乡，于邵阳市区沿江桥从右岸汇入资江，全长112 km，境内流域面积1965 km</w:t>
            </w:r>
            <w:r>
              <w:rPr>
                <w:rFonts w:ascii="Times New Roman" w:hAnsi="Times New Roman" w:cs="Times New Roman"/>
                <w:bCs/>
                <w:sz w:val="24"/>
                <w:vertAlign w:val="superscript"/>
              </w:rPr>
              <w:t>2</w:t>
            </w:r>
            <w:r>
              <w:rPr>
                <w:rFonts w:ascii="Times New Roman" w:hAnsi="Times New Roman" w:cs="Times New Roman"/>
                <w:bCs/>
                <w:sz w:val="24"/>
              </w:rPr>
              <w:t>，河流平均坡降0.79‰。其较大的支流有槎江、西洋江、檀江。西洋江发源于新邵县岳坪峰，经太芝庙、潭府、陈家坊乡，邵东县范家山镇，于牛马司从右岸汇入邵水。檀江源出东安县尖木岭南麓，于邵阳县五峰铺镇界牌桥进入市境，经五峰铺、中和、下花桥、谷州乡，市郊檀江乡，于双江口从左岸汇入邵水。</w:t>
            </w:r>
          </w:p>
          <w:p>
            <w:pPr>
              <w:spacing w:line="360" w:lineRule="auto"/>
              <w:ind w:firstLine="480"/>
              <w:rPr>
                <w:rFonts w:ascii="Times New Roman" w:hAnsi="Times New Roman" w:cs="Times New Roman"/>
                <w:sz w:val="24"/>
              </w:rPr>
            </w:pPr>
            <w:r>
              <w:rPr>
                <w:rFonts w:hint="eastAsia" w:ascii="Times New Roman" w:hAnsi="Times New Roman" w:cs="Times New Roman"/>
                <w:sz w:val="24"/>
              </w:rPr>
              <w:t>本项目评价范围内无大型地表水体，南面分布小片农田和若干小型水塘，其水源主要为汇集的四周雨水，水塘水主要用作农业用水，无饮用功能。本项目评价范围内无集中式饮用水源保护区。</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2.1.5生态环境</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邵东县属于中亚热带常绿阔叶林区，由于多年人工垦殖，植被方面现无原始植被，除耕作地带外，多代逆向演替产生的马尾松纯林、稀疏林和残林地遍布境内，形成马尾松——白栎——铁芒箕禾草群落。境内多为松、竹、杉等混交林，灌木杂草覆盖较好。以灌草丛和农业作物为主，有松、杉、竹等植物，区域主要种植的粮食作物为水稻和蔬菜。</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项目所在区域人类活动频繁，主要野生动物为田鼠、青蛙、蛇、山雀等常见物种，家畜以牛、羊、猪为主，家禽以鸡、鸭、鹅为主。水生鱼类以青、草、鲤、鲫四大家鱼为主。</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经踏勘调查</w:t>
            </w:r>
            <w:r>
              <w:rPr>
                <w:rFonts w:ascii="Times New Roman" w:hAnsi="Times New Roman" w:cs="Times New Roman"/>
                <w:sz w:val="24"/>
              </w:rPr>
              <w:t>，</w:t>
            </w:r>
            <w:r>
              <w:rPr>
                <w:rFonts w:hint="eastAsia" w:ascii="Times New Roman" w:hAnsi="Times New Roman" w:cs="Times New Roman"/>
                <w:sz w:val="24"/>
              </w:rPr>
              <w:t>本项目评价区域内土壤主要有青泥田、黄泥田及少部分冷浸田，土壤比较肥沃，适合于多种农作物的生长。本项目周边主要以农田、旱土、乔木（东北松）、灌木和茅草为主，区域内未发现珍稀野生动、植物，无自然保护区和名胜古迹。项目周边2.5km范围内分布有较多采石场，各采石场造成了一定的生态破坏。</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2.1.</w:t>
            </w:r>
            <w:r>
              <w:rPr>
                <w:rFonts w:hint="eastAsia" w:ascii="Times New Roman" w:hAnsi="Times New Roman" w:cs="Times New Roman"/>
                <w:b/>
                <w:sz w:val="24"/>
              </w:rPr>
              <w:t>6矿产资源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邵东县境内矿产以煤、石膏为主。截至2014年，邵东县已探明煤储量4000万吨，石膏储量3.2亿吨左右，煤和石膏储量均居全省前列。还有锰、铅、锌、铀、铁、硅砂、重晶石、塑性粘土，石灰石等。土壤有水稻土、红壤、黄壤等7大类，16个亚类，51个土属，137个土种。</w:t>
            </w:r>
          </w:p>
          <w:p>
            <w:pPr>
              <w:spacing w:line="360" w:lineRule="auto"/>
              <w:ind w:firstLine="482" w:firstLineChars="200"/>
              <w:rPr>
                <w:rFonts w:ascii="Times New Roman" w:hAnsi="Times New Roman" w:cs="Times New Roman"/>
                <w:b/>
                <w:sz w:val="24"/>
              </w:rPr>
            </w:pPr>
            <w:r>
              <w:rPr>
                <w:rFonts w:ascii="Times New Roman" w:hAnsi="Times New Roman" w:cs="Times New Roman"/>
                <w:b/>
                <w:sz w:val="24"/>
              </w:rPr>
              <w:t>2.1.</w:t>
            </w:r>
            <w:r>
              <w:rPr>
                <w:rFonts w:hint="eastAsia" w:ascii="Times New Roman" w:hAnsi="Times New Roman" w:cs="Times New Roman"/>
                <w:b/>
                <w:sz w:val="24"/>
              </w:rPr>
              <w:t>7</w:t>
            </w:r>
            <w:r>
              <w:rPr>
                <w:rFonts w:ascii="Times New Roman" w:hAnsi="Times New Roman" w:cs="Times New Roman"/>
                <w:b/>
                <w:sz w:val="24"/>
              </w:rPr>
              <w:t>区域环境功能区划</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查阅《关于划分国家级水土流失重点防治区的公告》（中华人民共和国水利部公告2006年第2号），邵东县属于国家级水土流失重点防治区中的重点治理区（湘资沅澧中游治理区）。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查阅《湖南省水利厅关于湖南省水土流失重点预防区和重点治理区划定公告》（湖南省水利厅，2017年1月22日），本项目拟建地属于资水中上游省级水土流失重点治理区（省级，SZ2），区内水土流失以轻度、中度为主，主要发生在残、疏、幼、灌木林地、坡耕地，是全省土壤侵蚀严重区之一。</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本项目所在地环境功能属性见</w:t>
            </w:r>
            <w:r>
              <w:rPr>
                <w:rFonts w:ascii="Times New Roman" w:hAnsi="Times New Roman" w:cs="Times New Roman"/>
                <w:sz w:val="24"/>
              </w:rPr>
              <w:fldChar w:fldCharType="begin"/>
            </w:r>
            <w:r>
              <w:rPr>
                <w:rFonts w:ascii="Times New Roman" w:hAnsi="Times New Roman" w:cs="Times New Roman"/>
                <w:sz w:val="24"/>
              </w:rPr>
              <w:instrText xml:space="preserve"> REF _Ref498932470 \h  \* MERGEFORMAT </w:instrText>
            </w:r>
            <w:r>
              <w:rPr>
                <w:rFonts w:ascii="Times New Roman" w:hAnsi="Times New Roman" w:cs="Times New Roman"/>
                <w:sz w:val="24"/>
              </w:rPr>
              <w:fldChar w:fldCharType="separate"/>
            </w:r>
            <w:r>
              <w:rPr>
                <w:rFonts w:ascii="Times New Roman" w:hAnsi="Times New Roman" w:cs="Times New Roman"/>
                <w:sz w:val="24"/>
              </w:rPr>
              <w:t>表2-1</w:t>
            </w:r>
            <w:r>
              <w:rPr>
                <w:rFonts w:ascii="Times New Roman" w:hAnsi="Times New Roman" w:cs="Times New Roman"/>
                <w:sz w:val="24"/>
              </w:rPr>
              <w:fldChar w:fldCharType="end"/>
            </w:r>
            <w:r>
              <w:rPr>
                <w:rFonts w:ascii="Times New Roman" w:hAnsi="Times New Roman" w:cs="Times New Roman"/>
                <w:sz w:val="24"/>
              </w:rPr>
              <w:t>。</w:t>
            </w:r>
          </w:p>
          <w:p>
            <w:pPr>
              <w:spacing w:line="360" w:lineRule="auto"/>
              <w:jc w:val="center"/>
              <w:rPr>
                <w:rFonts w:ascii="Times New Roman" w:hAnsi="Times New Roman" w:cs="Times New Roman"/>
                <w:b/>
                <w:szCs w:val="21"/>
              </w:rPr>
            </w:pPr>
            <w:bookmarkStart w:id="31" w:name="_Ref498932470"/>
            <w:r>
              <w:rPr>
                <w:rFonts w:ascii="Times New Roman" w:hAnsi="Times New Roman" w:cs="Times New Roman"/>
                <w:b/>
                <w:szCs w:val="21"/>
              </w:rPr>
              <w:t>表2-</w:t>
            </w:r>
            <w:r>
              <w:rPr>
                <w:rFonts w:ascii="Times New Roman" w:hAnsi="Times New Roman" w:cs="Times New Roman"/>
                <w:b/>
                <w:szCs w:val="21"/>
              </w:rPr>
              <w:fldChar w:fldCharType="begin"/>
            </w:r>
            <w:r>
              <w:rPr>
                <w:rFonts w:ascii="Times New Roman" w:hAnsi="Times New Roman" w:cs="Times New Roman"/>
                <w:b/>
                <w:szCs w:val="21"/>
              </w:rPr>
              <w:instrText xml:space="preserve"> SEQ 表2- \* ARABIC </w:instrText>
            </w:r>
            <w:r>
              <w:rPr>
                <w:rFonts w:ascii="Times New Roman" w:hAnsi="Times New Roman" w:cs="Times New Roman"/>
                <w:b/>
                <w:szCs w:val="21"/>
              </w:rPr>
              <w:fldChar w:fldCharType="separate"/>
            </w:r>
            <w:r>
              <w:rPr>
                <w:rFonts w:ascii="Times New Roman" w:hAnsi="Times New Roman" w:cs="Times New Roman"/>
                <w:b/>
                <w:szCs w:val="21"/>
              </w:rPr>
              <w:t>1</w:t>
            </w:r>
            <w:r>
              <w:rPr>
                <w:rFonts w:ascii="Times New Roman" w:hAnsi="Times New Roman" w:cs="Times New Roman"/>
                <w:b/>
                <w:szCs w:val="21"/>
              </w:rPr>
              <w:fldChar w:fldCharType="end"/>
            </w:r>
            <w:bookmarkEnd w:id="31"/>
            <w:r>
              <w:rPr>
                <w:rFonts w:ascii="Times New Roman" w:hAnsi="Times New Roman" w:cs="Times New Roman"/>
                <w:b/>
                <w:szCs w:val="21"/>
              </w:rPr>
              <w:t xml:space="preserve">  项目选址环境功能属性</w:t>
            </w:r>
          </w:p>
          <w:tbl>
            <w:tblPr>
              <w:tblStyle w:val="25"/>
              <w:tblW w:w="82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732"/>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b/>
                      <w:szCs w:val="21"/>
                    </w:rPr>
                  </w:pPr>
                  <w:r>
                    <w:rPr>
                      <w:rFonts w:ascii="Times New Roman" w:hAnsi="Times New Roman" w:cs="Times New Roman"/>
                      <w:b/>
                      <w:szCs w:val="21"/>
                    </w:rPr>
                    <w:t>编</w:t>
                  </w:r>
                  <w:r>
                    <w:rPr>
                      <w:rFonts w:hint="eastAsia" w:ascii="Times New Roman" w:hAnsi="Times New Roman" w:cs="Times New Roman"/>
                      <w:b/>
                      <w:szCs w:val="21"/>
                    </w:rPr>
                    <w:t>号</w:t>
                  </w:r>
                </w:p>
              </w:tc>
              <w:tc>
                <w:tcPr>
                  <w:tcW w:w="2732" w:type="dxa"/>
                  <w:vAlign w:val="center"/>
                </w:tcPr>
                <w:p>
                  <w:pPr>
                    <w:pStyle w:val="48"/>
                    <w:spacing w:after="0"/>
                    <w:rPr>
                      <w:rFonts w:ascii="Times New Roman" w:hAnsi="Times New Roman" w:cs="Times New Roman"/>
                      <w:b/>
                      <w:szCs w:val="21"/>
                    </w:rPr>
                  </w:pPr>
                  <w:r>
                    <w:rPr>
                      <w:rFonts w:ascii="Times New Roman" w:hAnsi="Times New Roman" w:cs="Times New Roman"/>
                      <w:b/>
                      <w:szCs w:val="21"/>
                    </w:rPr>
                    <w:t>项目</w:t>
                  </w:r>
                </w:p>
              </w:tc>
              <w:tc>
                <w:tcPr>
                  <w:tcW w:w="4665" w:type="dxa"/>
                  <w:vAlign w:val="center"/>
                </w:tcPr>
                <w:p>
                  <w:pPr>
                    <w:pStyle w:val="48"/>
                    <w:spacing w:after="0"/>
                    <w:rPr>
                      <w:rFonts w:ascii="Times New Roman" w:hAnsi="Times New Roman" w:cs="Times New Roman"/>
                      <w:b/>
                      <w:szCs w:val="21"/>
                    </w:rPr>
                  </w:pPr>
                  <w:r>
                    <w:rPr>
                      <w:rFonts w:ascii="Times New Roman" w:hAnsi="Times New Roman" w:cs="Times New Roman"/>
                      <w:b/>
                      <w:szCs w:val="21"/>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1</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水环境功能区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执行《地表水环境质量标准》（GB3838-2002）中</w:t>
                  </w:r>
                  <w:r>
                    <w:rPr>
                      <w:rFonts w:hint="eastAsia" w:ascii="宋体" w:hAnsi="宋体" w:eastAsia="宋体" w:cs="宋体"/>
                      <w:szCs w:val="21"/>
                    </w:rPr>
                    <w:t>Ⅲ</w:t>
                  </w:r>
                  <w:r>
                    <w:rPr>
                      <w:rFonts w:ascii="Times New Roman" w:hAnsi="Times New Roman" w:cs="Times New Roman"/>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2</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环境空气质量功能区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二类区，环境空气质量执行《环境空气质量标准》（GB3095-2012）二级</w:t>
                  </w:r>
                  <w:r>
                    <w:rPr>
                      <w:rFonts w:hint="eastAsia" w:ascii="Times New Roman" w:hAnsi="Times New Roman"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3</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声环境功能区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执行《声环境质量标准》（GB3096-2008）2类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4</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是否基本农田保护区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5</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w:t>
                  </w:r>
                  <w:r>
                    <w:rPr>
                      <w:rFonts w:hint="eastAsia" w:ascii="Times New Roman" w:hAnsi="Times New Roman" w:cs="Times New Roman"/>
                      <w:szCs w:val="21"/>
                    </w:rPr>
                    <w:t>风景保护区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6</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是否生态功能保护区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7</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是否水土流失重点防治区</w:t>
                  </w:r>
                </w:p>
              </w:tc>
              <w:tc>
                <w:tcPr>
                  <w:tcW w:w="4665" w:type="dxa"/>
                  <w:vAlign w:val="center"/>
                </w:tcPr>
                <w:p>
                  <w:pPr>
                    <w:pStyle w:val="48"/>
                    <w:spacing w:after="0"/>
                    <w:rPr>
                      <w:rFonts w:ascii="Times New Roman" w:hAnsi="Times New Roman" w:cs="Times New Roman"/>
                      <w:szCs w:val="21"/>
                    </w:rPr>
                  </w:pPr>
                  <w:r>
                    <w:rPr>
                      <w:rFonts w:hint="eastAsia" w:ascii="Times New Roman" w:hAnsi="Times New Roman"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8</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是否重点文物保护单位</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9</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是否三河、三湖、两控区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是（两控区）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10</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是否水</w:t>
                  </w:r>
                  <w:r>
                    <w:rPr>
                      <w:rFonts w:hint="eastAsia" w:ascii="Times New Roman" w:hAnsi="Times New Roman" w:cs="Times New Roman"/>
                      <w:szCs w:val="21"/>
                    </w:rPr>
                    <w:t>库</w:t>
                  </w:r>
                  <w:r>
                    <w:rPr>
                      <w:rFonts w:ascii="Times New Roman" w:hAnsi="Times New Roman" w:cs="Times New Roman"/>
                      <w:szCs w:val="21"/>
                    </w:rPr>
                    <w:t>库区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cr/>
                  </w:r>
                  <w:r>
                    <w:rPr>
                      <w:rFonts w:ascii="Times New Roman" w:hAnsi="Times New Roman" w:cs="Times New Roman"/>
                      <w:szCs w:val="21"/>
                    </w:rPr>
                    <w:t>1</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是否污水处理厂集水范围</w:t>
                  </w:r>
                </w:p>
              </w:tc>
              <w:tc>
                <w:tcPr>
                  <w:tcW w:w="4665" w:type="dxa"/>
                  <w:vAlign w:val="center"/>
                </w:tcPr>
                <w:p>
                  <w:pPr>
                    <w:pStyle w:val="48"/>
                    <w:spacing w:after="0"/>
                    <w:rPr>
                      <w:rFonts w:ascii="Times New Roman" w:hAnsi="Times New Roman" w:cs="Times New Roman"/>
                      <w:szCs w:val="21"/>
                    </w:rPr>
                  </w:pPr>
                  <w:r>
                    <w:rPr>
                      <w:rFonts w:hint="eastAsia"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ascii="Times New Roman" w:hAnsi="Times New Roman" w:cs="Times New Roman"/>
                      <w:szCs w:val="21"/>
                    </w:rPr>
                    <w:t>12</w:t>
                  </w:r>
                </w:p>
              </w:tc>
              <w:tc>
                <w:tcPr>
                  <w:tcW w:w="2732" w:type="dxa"/>
                  <w:vAlign w:val="center"/>
                </w:tcPr>
                <w:p>
                  <w:pPr>
                    <w:pStyle w:val="48"/>
                    <w:spacing w:after="0"/>
                    <w:rPr>
                      <w:rFonts w:ascii="Times New Roman" w:hAnsi="Times New Roman" w:cs="Times New Roman"/>
                      <w:szCs w:val="21"/>
                    </w:rPr>
                  </w:pPr>
                  <w:r>
                    <w:rPr>
                      <w:rFonts w:ascii="Times New Roman" w:hAnsi="Times New Roman" w:cs="Times New Roman"/>
                      <w:szCs w:val="21"/>
                    </w:rPr>
                    <w:t>是否属于</w:t>
                  </w:r>
                  <w:r>
                    <w:rPr>
                      <w:rFonts w:hint="eastAsia" w:ascii="Times New Roman" w:hAnsi="Times New Roman" w:cs="Times New Roman"/>
                      <w:szCs w:val="21"/>
                    </w:rPr>
                    <w:t>生态</w:t>
                  </w:r>
                  <w:r>
                    <w:rPr>
                      <w:rFonts w:ascii="Times New Roman" w:hAnsi="Times New Roman" w:cs="Times New Roman"/>
                      <w:szCs w:val="21"/>
                    </w:rPr>
                    <w:t>敏感与脆弱区</w:t>
                  </w:r>
                </w:p>
              </w:tc>
              <w:tc>
                <w:tcPr>
                  <w:tcW w:w="4665" w:type="dxa"/>
                  <w:vAlign w:val="center"/>
                </w:tcPr>
                <w:p>
                  <w:pPr>
                    <w:pStyle w:val="48"/>
                    <w:spacing w:after="0"/>
                    <w:rPr>
                      <w:rFonts w:ascii="Times New Roman" w:hAnsi="Times New Roman" w:cs="Times New Roman"/>
                      <w:szCs w:val="21"/>
                    </w:rPr>
                  </w:pPr>
                  <w:r>
                    <w:rPr>
                      <w:rFonts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9" w:type="dxa"/>
                  <w:vAlign w:val="center"/>
                </w:tcPr>
                <w:p>
                  <w:pPr>
                    <w:pStyle w:val="48"/>
                    <w:spacing w:after="0"/>
                    <w:rPr>
                      <w:rFonts w:ascii="Times New Roman" w:hAnsi="Times New Roman" w:cs="Times New Roman"/>
                      <w:szCs w:val="21"/>
                    </w:rPr>
                  </w:pPr>
                  <w:r>
                    <w:rPr>
                      <w:rFonts w:hint="eastAsia" w:ascii="Times New Roman" w:hAnsi="Times New Roman" w:cs="Times New Roman"/>
                      <w:szCs w:val="21"/>
                    </w:rPr>
                    <w:t>13</w:t>
                  </w:r>
                </w:p>
              </w:tc>
              <w:tc>
                <w:tcPr>
                  <w:tcW w:w="2732" w:type="dxa"/>
                  <w:vAlign w:val="center"/>
                </w:tcPr>
                <w:p>
                  <w:pPr>
                    <w:pStyle w:val="48"/>
                    <w:spacing w:after="0"/>
                    <w:rPr>
                      <w:rFonts w:ascii="Times New Roman" w:hAnsi="Times New Roman" w:cs="Times New Roman"/>
                      <w:szCs w:val="21"/>
                    </w:rPr>
                  </w:pPr>
                  <w:r>
                    <w:rPr>
                      <w:rFonts w:hint="eastAsia" w:ascii="Times New Roman" w:hAnsi="Times New Roman" w:cs="Times New Roman"/>
                      <w:szCs w:val="21"/>
                    </w:rPr>
                    <w:t>是否位于生态保护红线范围内</w:t>
                  </w:r>
                </w:p>
              </w:tc>
              <w:tc>
                <w:tcPr>
                  <w:tcW w:w="4665" w:type="dxa"/>
                  <w:vAlign w:val="center"/>
                </w:tcPr>
                <w:p>
                  <w:pPr>
                    <w:pStyle w:val="48"/>
                    <w:spacing w:after="0"/>
                    <w:rPr>
                      <w:rFonts w:ascii="Times New Roman" w:hAnsi="Times New Roman" w:cs="Times New Roman"/>
                      <w:szCs w:val="21"/>
                    </w:rPr>
                  </w:pPr>
                  <w:r>
                    <w:rPr>
                      <w:rFonts w:hint="eastAsia" w:ascii="Times New Roman" w:hAnsi="Times New Roman" w:cs="Times New Roman"/>
                      <w:szCs w:val="21"/>
                    </w:rPr>
                    <w:t>否</w:t>
                  </w:r>
                </w:p>
              </w:tc>
            </w:tr>
          </w:tbl>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tc>
      </w:tr>
    </w:tbl>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p>
      <w:pPr>
        <w:pStyle w:val="2"/>
      </w:pPr>
      <w:bookmarkStart w:id="32" w:name="_Toc8098"/>
      <w:bookmarkStart w:id="33" w:name="_Toc16106"/>
      <w:bookmarkStart w:id="34" w:name="_Toc7464057"/>
      <w:r>
        <w:t>三、环境质量状况</w:t>
      </w:r>
      <w:bookmarkEnd w:id="32"/>
      <w:bookmarkEnd w:id="33"/>
      <w:bookmarkEnd w:id="34"/>
    </w:p>
    <w:tbl>
      <w:tblPr>
        <w:tblStyle w:val="25"/>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286" w:type="dxa"/>
          </w:tcPr>
          <w:p>
            <w:pPr>
              <w:adjustRightInd w:val="0"/>
              <w:snapToGrid w:val="0"/>
              <w:spacing w:line="360" w:lineRule="auto"/>
              <w:rPr>
                <w:rFonts w:ascii="黑体" w:hAnsi="黑体" w:eastAsia="黑体" w:cs="黑体"/>
                <w:b/>
                <w:bCs/>
                <w:sz w:val="28"/>
              </w:rPr>
            </w:pPr>
            <w:r>
              <w:rPr>
                <w:rFonts w:hint="eastAsia" w:ascii="黑体" w:hAnsi="黑体" w:eastAsia="黑体" w:cs="黑体"/>
                <w:b/>
                <w:bCs/>
                <w:sz w:val="28"/>
              </w:rPr>
              <w:t>3.1建设项目所在地区域环境质量现状及主要环境问题（环境空气、地面水、地下水、声环境、生态环境等）：</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1.1环境空气质量现状调查与评价</w:t>
            </w:r>
          </w:p>
          <w:p>
            <w:pPr>
              <w:adjustRightInd w:val="0"/>
              <w:snapToGrid w:val="0"/>
              <w:spacing w:line="360" w:lineRule="auto"/>
              <w:ind w:firstLine="496" w:firstLineChars="200"/>
              <w:rPr>
                <w:rFonts w:ascii="Times New Roman" w:hAnsi="Times New Roman" w:cs="Times New Roman"/>
                <w:spacing w:val="4"/>
                <w:sz w:val="24"/>
              </w:rPr>
            </w:pPr>
            <w:r>
              <w:rPr>
                <w:rFonts w:ascii="Times New Roman" w:hAnsi="Times New Roman" w:cs="Times New Roman"/>
                <w:spacing w:val="4"/>
                <w:sz w:val="24"/>
              </w:rPr>
              <w:t>为了解项目区域环境空气质量现状，本次评价</w:t>
            </w:r>
            <w:r>
              <w:rPr>
                <w:rFonts w:hint="eastAsia" w:ascii="Times New Roman" w:hAnsi="Times New Roman" w:cs="Times New Roman"/>
                <w:spacing w:val="4"/>
                <w:sz w:val="24"/>
              </w:rPr>
              <w:t>搜集了邵东县政府网上（http://www.shaodong.gov.cn/Item/112123.aspx）由邵东县环境保护监测站发布的2017年邵东县环境空气质量数据（邵环监[2018]01号 邵东县2017年全年环境空气质量监测报告）。</w:t>
            </w:r>
          </w:p>
          <w:p>
            <w:pPr>
              <w:adjustRightInd w:val="0"/>
              <w:snapToGrid w:val="0"/>
              <w:spacing w:line="360" w:lineRule="auto"/>
              <w:ind w:firstLine="496" w:firstLineChars="200"/>
              <w:rPr>
                <w:rFonts w:ascii="Times New Roman" w:hAnsi="Times New Roman" w:cs="Times New Roman"/>
                <w:spacing w:val="4"/>
                <w:sz w:val="24"/>
              </w:rPr>
            </w:pPr>
            <w:r>
              <w:rPr>
                <w:rFonts w:hint="eastAsia" w:ascii="Times New Roman" w:hAnsi="Times New Roman" w:cs="Times New Roman"/>
                <w:spacing w:val="4"/>
                <w:sz w:val="24"/>
              </w:rPr>
              <w:t>根据统计，2017年邵东县城市环境空气质量指数在22～289之间，监测天数365天，优107天，良178天，优良天数285天，优良率78.1%，空气质量综合指数为4.54，全省排名82名。同2016年相比较，优增加73天，良减少4天，优良天数增加69天，优良率提升12.8%；轻度污染减少26天，中度污染减少10天，重度污染增加2天，严重污染减少1天，中度及以上污染天数减少9天，下降41%；空气质量综合指数降低1.12，下降21.2%，全省排名提升5位。影响城市环境空气质量的主要污染物是细颗粒物（PM</w:t>
            </w:r>
            <w:r>
              <w:rPr>
                <w:rFonts w:hint="eastAsia" w:ascii="Times New Roman" w:hAnsi="Times New Roman" w:cs="Times New Roman"/>
                <w:spacing w:val="4"/>
                <w:sz w:val="24"/>
                <w:vertAlign w:val="subscript"/>
              </w:rPr>
              <w:t>2.5</w:t>
            </w:r>
            <w:r>
              <w:rPr>
                <w:rFonts w:hint="eastAsia" w:ascii="Times New Roman" w:hAnsi="Times New Roman" w:cs="Times New Roman"/>
                <w:spacing w:val="4"/>
                <w:sz w:val="24"/>
              </w:rPr>
              <w:t>）、可吸入颗粒物（PM</w:t>
            </w:r>
            <w:r>
              <w:rPr>
                <w:rFonts w:hint="eastAsia" w:ascii="Times New Roman" w:hAnsi="Times New Roman" w:cs="Times New Roman"/>
                <w:spacing w:val="4"/>
                <w:sz w:val="24"/>
                <w:vertAlign w:val="subscript"/>
              </w:rPr>
              <w:t>10</w:t>
            </w:r>
            <w:r>
              <w:rPr>
                <w:rFonts w:hint="eastAsia" w:ascii="Times New Roman" w:hAnsi="Times New Roman" w:cs="Times New Roman"/>
                <w:spacing w:val="4"/>
                <w:sz w:val="24"/>
              </w:rPr>
              <w:t>）、臭氧。</w:t>
            </w:r>
          </w:p>
          <w:p>
            <w:pPr>
              <w:adjustRightInd w:val="0"/>
              <w:snapToGrid w:val="0"/>
              <w:spacing w:line="360" w:lineRule="auto"/>
              <w:ind w:firstLine="496" w:firstLineChars="200"/>
              <w:rPr>
                <w:rFonts w:ascii="Times New Roman" w:hAnsi="Times New Roman" w:cs="Times New Roman"/>
                <w:spacing w:val="4"/>
                <w:sz w:val="24"/>
              </w:rPr>
            </w:pPr>
            <w:r>
              <w:rPr>
                <w:rFonts w:hint="eastAsia" w:ascii="Times New Roman" w:hAnsi="Times New Roman" w:cs="Times New Roman"/>
                <w:spacing w:val="4"/>
                <w:sz w:val="24"/>
              </w:rPr>
              <w:t>2017年邵东县环境空气质量现状及达标判定情况详见</w:t>
            </w:r>
            <w:r>
              <w:rPr>
                <w:rFonts w:ascii="Times New Roman" w:hAnsi="Times New Roman" w:cs="Times New Roman"/>
                <w:spacing w:val="4"/>
                <w:sz w:val="24"/>
              </w:rPr>
              <w:fldChar w:fldCharType="begin"/>
            </w:r>
            <w:r>
              <w:rPr>
                <w:rFonts w:ascii="Times New Roman" w:hAnsi="Times New Roman" w:cs="Times New Roman"/>
                <w:spacing w:val="4"/>
                <w:sz w:val="24"/>
              </w:rPr>
              <w:instrText xml:space="preserve"> </w:instrText>
            </w:r>
            <w:r>
              <w:rPr>
                <w:rFonts w:hint="eastAsia" w:ascii="Times New Roman" w:hAnsi="Times New Roman" w:cs="Times New Roman"/>
                <w:spacing w:val="4"/>
                <w:sz w:val="24"/>
              </w:rPr>
              <w:instrText xml:space="preserve">REF _Ref497147348 \h</w:instrText>
            </w:r>
            <w:r>
              <w:rPr>
                <w:rFonts w:ascii="Times New Roman" w:hAnsi="Times New Roman" w:cs="Times New Roman"/>
                <w:spacing w:val="4"/>
                <w:sz w:val="24"/>
              </w:rPr>
              <w:instrText xml:space="preserve">  \* MERGEFORMAT </w:instrText>
            </w:r>
            <w:r>
              <w:rPr>
                <w:rFonts w:ascii="Times New Roman" w:hAnsi="Times New Roman" w:cs="Times New Roman"/>
                <w:spacing w:val="4"/>
                <w:sz w:val="24"/>
              </w:rPr>
              <w:fldChar w:fldCharType="separate"/>
            </w:r>
            <w:r>
              <w:rPr>
                <w:rFonts w:hint="eastAsia" w:ascii="Times New Roman" w:hAnsi="Times New Roman" w:cs="Times New Roman"/>
                <w:spacing w:val="4"/>
                <w:sz w:val="24"/>
              </w:rPr>
              <w:t>表3-</w:t>
            </w:r>
            <w:r>
              <w:rPr>
                <w:rFonts w:ascii="Times New Roman" w:hAnsi="Times New Roman" w:cs="Times New Roman"/>
                <w:spacing w:val="4"/>
                <w:sz w:val="24"/>
              </w:rPr>
              <w:t>1</w:t>
            </w:r>
            <w:r>
              <w:rPr>
                <w:rFonts w:ascii="Times New Roman" w:hAnsi="Times New Roman" w:cs="Times New Roman"/>
                <w:spacing w:val="4"/>
                <w:sz w:val="24"/>
              </w:rPr>
              <w:fldChar w:fldCharType="end"/>
            </w:r>
            <w:r>
              <w:rPr>
                <w:rFonts w:hint="eastAsia" w:ascii="Times New Roman" w:hAnsi="Times New Roman" w:cs="Times New Roman"/>
                <w:spacing w:val="4"/>
                <w:sz w:val="24"/>
              </w:rPr>
              <w:t>。</w:t>
            </w:r>
          </w:p>
          <w:p>
            <w:pPr>
              <w:pStyle w:val="38"/>
              <w:spacing w:before="156"/>
              <w:rPr>
                <w:color w:val="auto"/>
              </w:rPr>
            </w:pPr>
            <w:bookmarkStart w:id="35" w:name="_Ref497147348"/>
            <w:r>
              <w:rPr>
                <w:rFonts w:hint="eastAsia"/>
                <w:color w:val="auto"/>
              </w:rPr>
              <w:t>表3-</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1</w:t>
            </w:r>
            <w:r>
              <w:rPr>
                <w:color w:val="auto"/>
              </w:rPr>
              <w:fldChar w:fldCharType="end"/>
            </w:r>
            <w:bookmarkEnd w:id="35"/>
            <w:r>
              <w:rPr>
                <w:color w:val="auto"/>
              </w:rPr>
              <w:t xml:space="preserve">  </w:t>
            </w:r>
            <w:r>
              <w:rPr>
                <w:rFonts w:hint="eastAsia"/>
                <w:color w:val="auto"/>
              </w:rPr>
              <w:t xml:space="preserve"> 2017年邵东县空气质量现状评价表</w:t>
            </w:r>
          </w:p>
          <w:tbl>
            <w:tblPr>
              <w:tblStyle w:val="25"/>
              <w:tblW w:w="882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03"/>
              <w:gridCol w:w="2161"/>
              <w:gridCol w:w="1241"/>
              <w:gridCol w:w="1134"/>
              <w:gridCol w:w="1342"/>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vAlign w:val="center"/>
                </w:tcPr>
                <w:p>
                  <w:pPr>
                    <w:pStyle w:val="54"/>
                    <w:adjustRightInd/>
                    <w:snapToGrid w:val="0"/>
                    <w:rPr>
                      <w:rFonts w:ascii="宋体" w:hAnsi="宋体"/>
                      <w:b/>
                      <w:bCs/>
                    </w:rPr>
                  </w:pPr>
                  <w:r>
                    <w:rPr>
                      <w:rFonts w:hint="eastAsia"/>
                      <w:b/>
                      <w:bCs/>
                    </w:rPr>
                    <w:t>污染物</w:t>
                  </w:r>
                </w:p>
              </w:tc>
              <w:tc>
                <w:tcPr>
                  <w:tcW w:w="2161" w:type="dxa"/>
                  <w:vAlign w:val="center"/>
                </w:tcPr>
                <w:p>
                  <w:pPr>
                    <w:pStyle w:val="54"/>
                    <w:adjustRightInd/>
                    <w:snapToGrid w:val="0"/>
                    <w:rPr>
                      <w:b/>
                      <w:bCs/>
                    </w:rPr>
                  </w:pPr>
                  <w:r>
                    <w:rPr>
                      <w:rFonts w:hint="eastAsia"/>
                      <w:b/>
                      <w:bCs/>
                    </w:rPr>
                    <w:t>年评价指标</w:t>
                  </w:r>
                </w:p>
              </w:tc>
              <w:tc>
                <w:tcPr>
                  <w:tcW w:w="1241" w:type="dxa"/>
                  <w:vAlign w:val="center"/>
                </w:tcPr>
                <w:p>
                  <w:pPr>
                    <w:pStyle w:val="54"/>
                    <w:adjustRightInd/>
                    <w:snapToGrid w:val="0"/>
                    <w:rPr>
                      <w:b/>
                      <w:bCs/>
                    </w:rPr>
                  </w:pPr>
                  <w:r>
                    <w:rPr>
                      <w:rFonts w:hint="eastAsia"/>
                      <w:b/>
                      <w:bCs/>
                    </w:rPr>
                    <w:t>现状浓度（</w:t>
                  </w:r>
                  <w:r>
                    <w:rPr>
                      <w:b/>
                      <w:bCs/>
                    </w:rPr>
                    <w:t>μ</w:t>
                  </w:r>
                  <w:r>
                    <w:rPr>
                      <w:rFonts w:hint="eastAsia"/>
                      <w:b/>
                      <w:bCs/>
                    </w:rPr>
                    <w:t>g/m</w:t>
                  </w:r>
                  <w:r>
                    <w:rPr>
                      <w:rFonts w:hint="eastAsia"/>
                      <w:b/>
                      <w:bCs/>
                      <w:vertAlign w:val="superscript"/>
                    </w:rPr>
                    <w:t>3</w:t>
                  </w:r>
                  <w:r>
                    <w:rPr>
                      <w:rFonts w:hint="eastAsia"/>
                      <w:b/>
                      <w:bCs/>
                    </w:rPr>
                    <w:t>）</w:t>
                  </w:r>
                </w:p>
              </w:tc>
              <w:tc>
                <w:tcPr>
                  <w:tcW w:w="1134" w:type="dxa"/>
                  <w:vAlign w:val="center"/>
                </w:tcPr>
                <w:p>
                  <w:pPr>
                    <w:pStyle w:val="54"/>
                    <w:adjustRightInd/>
                    <w:snapToGrid w:val="0"/>
                    <w:rPr>
                      <w:b/>
                      <w:bCs/>
                    </w:rPr>
                  </w:pPr>
                  <w:r>
                    <w:rPr>
                      <w:rFonts w:hint="eastAsia"/>
                      <w:b/>
                      <w:bCs/>
                    </w:rPr>
                    <w:t>标准值（</w:t>
                  </w:r>
                  <w:r>
                    <w:rPr>
                      <w:b/>
                      <w:bCs/>
                    </w:rPr>
                    <w:t>μ</w:t>
                  </w:r>
                  <w:r>
                    <w:rPr>
                      <w:rFonts w:hint="eastAsia"/>
                      <w:b/>
                      <w:bCs/>
                    </w:rPr>
                    <w:t>g/m</w:t>
                  </w:r>
                  <w:r>
                    <w:rPr>
                      <w:rFonts w:hint="eastAsia"/>
                      <w:b/>
                      <w:bCs/>
                      <w:vertAlign w:val="superscript"/>
                    </w:rPr>
                    <w:t>3</w:t>
                  </w:r>
                  <w:r>
                    <w:rPr>
                      <w:rFonts w:hint="eastAsia"/>
                      <w:b/>
                      <w:bCs/>
                    </w:rPr>
                    <w:t>）</w:t>
                  </w:r>
                </w:p>
              </w:tc>
              <w:tc>
                <w:tcPr>
                  <w:tcW w:w="1342" w:type="dxa"/>
                  <w:vAlign w:val="center"/>
                </w:tcPr>
                <w:p>
                  <w:pPr>
                    <w:pStyle w:val="54"/>
                    <w:adjustRightInd/>
                    <w:snapToGrid w:val="0"/>
                    <w:rPr>
                      <w:b/>
                      <w:bCs/>
                    </w:rPr>
                  </w:pPr>
                  <w:r>
                    <w:rPr>
                      <w:rFonts w:hint="eastAsia"/>
                      <w:b/>
                      <w:bCs/>
                    </w:rPr>
                    <w:t>占标率</w:t>
                  </w:r>
                </w:p>
                <w:p>
                  <w:pPr>
                    <w:pStyle w:val="54"/>
                    <w:adjustRightInd/>
                    <w:snapToGrid w:val="0"/>
                    <w:rPr>
                      <w:b/>
                      <w:bCs/>
                    </w:rPr>
                  </w:pPr>
                  <w:r>
                    <w:rPr>
                      <w:rFonts w:hint="eastAsia"/>
                      <w:b/>
                      <w:bCs/>
                    </w:rPr>
                    <w:t>（%）</w:t>
                  </w:r>
                </w:p>
              </w:tc>
              <w:tc>
                <w:tcPr>
                  <w:tcW w:w="1342" w:type="dxa"/>
                  <w:vAlign w:val="center"/>
                </w:tcPr>
                <w:p>
                  <w:pPr>
                    <w:pStyle w:val="54"/>
                    <w:adjustRightInd/>
                    <w:snapToGrid w:val="0"/>
                    <w:rPr>
                      <w:b/>
                      <w:bCs/>
                    </w:rPr>
                  </w:pPr>
                  <w:r>
                    <w:rPr>
                      <w:rFonts w:hint="eastAsia"/>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vAlign w:val="center"/>
                </w:tcPr>
                <w:p>
                  <w:pPr>
                    <w:snapToGrid w:val="0"/>
                    <w:jc w:val="center"/>
                    <w:rPr>
                      <w:rFonts w:ascii="Times New Roman" w:hAnsi="Times New Roman" w:eastAsia="宋体" w:cs="Times New Roman"/>
                      <w:bCs/>
                      <w:szCs w:val="21"/>
                      <w:vertAlign w:val="subscript"/>
                    </w:rPr>
                  </w:pPr>
                  <w:r>
                    <w:rPr>
                      <w:rFonts w:hint="eastAsia" w:ascii="Times New Roman" w:hAnsi="Times New Roman" w:eastAsia="宋体" w:cs="Times New Roman"/>
                      <w:bCs/>
                      <w:szCs w:val="21"/>
                    </w:rPr>
                    <w:t>SO</w:t>
                  </w:r>
                  <w:r>
                    <w:rPr>
                      <w:rFonts w:hint="eastAsia" w:ascii="Times New Roman" w:hAnsi="Times New Roman" w:eastAsia="宋体" w:cs="Times New Roman"/>
                      <w:bCs/>
                      <w:szCs w:val="21"/>
                      <w:vertAlign w:val="subscript"/>
                    </w:rPr>
                    <w:t>2</w:t>
                  </w:r>
                </w:p>
              </w:tc>
              <w:tc>
                <w:tcPr>
                  <w:tcW w:w="2161" w:type="dxa"/>
                  <w:vAlign w:val="center"/>
                </w:tcPr>
                <w:p>
                  <w:pPr>
                    <w:pStyle w:val="54"/>
                    <w:adjustRightInd/>
                    <w:snapToGrid w:val="0"/>
                  </w:pPr>
                  <w:r>
                    <w:rPr>
                      <w:rFonts w:hint="eastAsia"/>
                    </w:rPr>
                    <w:t>年平均质量浓度</w:t>
                  </w:r>
                </w:p>
              </w:tc>
              <w:tc>
                <w:tcPr>
                  <w:tcW w:w="1241" w:type="dxa"/>
                  <w:vAlign w:val="center"/>
                </w:tcPr>
                <w:p>
                  <w:pPr>
                    <w:pStyle w:val="54"/>
                    <w:snapToGrid w:val="0"/>
                  </w:pPr>
                  <w:r>
                    <w:rPr>
                      <w:rFonts w:hint="eastAsia"/>
                    </w:rPr>
                    <w:t>27</w:t>
                  </w:r>
                </w:p>
              </w:tc>
              <w:tc>
                <w:tcPr>
                  <w:tcW w:w="1134" w:type="dxa"/>
                  <w:vAlign w:val="center"/>
                </w:tcPr>
                <w:p>
                  <w:pPr>
                    <w:pStyle w:val="54"/>
                    <w:adjustRightInd/>
                    <w:snapToGrid w:val="0"/>
                  </w:pPr>
                  <w:r>
                    <w:rPr>
                      <w:rFonts w:hint="eastAsia"/>
                    </w:rPr>
                    <w:t>60</w:t>
                  </w:r>
                </w:p>
              </w:tc>
              <w:tc>
                <w:tcPr>
                  <w:tcW w:w="1342" w:type="dxa"/>
                  <w:vAlign w:val="center"/>
                </w:tcPr>
                <w:p>
                  <w:pPr>
                    <w:jc w:val="center"/>
                    <w:rPr>
                      <w:rFonts w:ascii="Times New Roman" w:hAnsi="Times New Roman" w:eastAsia="宋体" w:cs="Times New Roman"/>
                      <w:szCs w:val="21"/>
                    </w:rPr>
                  </w:pPr>
                  <w:r>
                    <w:rPr>
                      <w:rFonts w:ascii="Times New Roman" w:hAnsi="Times New Roman" w:cs="Times New Roman"/>
                      <w:szCs w:val="21"/>
                    </w:rPr>
                    <w:t>45.00</w:t>
                  </w:r>
                </w:p>
              </w:tc>
              <w:tc>
                <w:tcPr>
                  <w:tcW w:w="1342" w:type="dxa"/>
                  <w:vAlign w:val="center"/>
                </w:tcPr>
                <w:p>
                  <w:pPr>
                    <w:pStyle w:val="54"/>
                    <w:adjustRightInd/>
                    <w:snapToGrid w:val="0"/>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NO</w:t>
                  </w:r>
                  <w:r>
                    <w:rPr>
                      <w:rFonts w:hint="eastAsia" w:ascii="Times New Roman" w:hAnsi="Times New Roman" w:eastAsia="宋体" w:cs="Times New Roman"/>
                      <w:bCs/>
                      <w:szCs w:val="21"/>
                      <w:vertAlign w:val="subscript"/>
                    </w:rPr>
                    <w:t>2</w:t>
                  </w:r>
                </w:p>
              </w:tc>
              <w:tc>
                <w:tcPr>
                  <w:tcW w:w="2161" w:type="dxa"/>
                  <w:vAlign w:val="center"/>
                </w:tcPr>
                <w:p>
                  <w:pPr>
                    <w:pStyle w:val="54"/>
                    <w:adjustRightInd/>
                    <w:snapToGrid w:val="0"/>
                  </w:pPr>
                  <w:r>
                    <w:rPr>
                      <w:rFonts w:hint="eastAsia"/>
                    </w:rPr>
                    <w:t>年平均质量浓度</w:t>
                  </w:r>
                </w:p>
              </w:tc>
              <w:tc>
                <w:tcPr>
                  <w:tcW w:w="1241" w:type="dxa"/>
                  <w:vAlign w:val="center"/>
                </w:tcPr>
                <w:p>
                  <w:pPr>
                    <w:pStyle w:val="54"/>
                    <w:snapToGrid w:val="0"/>
                  </w:pPr>
                  <w:r>
                    <w:rPr>
                      <w:rFonts w:hint="eastAsia"/>
                    </w:rPr>
                    <w:t>15</w:t>
                  </w:r>
                </w:p>
              </w:tc>
              <w:tc>
                <w:tcPr>
                  <w:tcW w:w="1134" w:type="dxa"/>
                  <w:vAlign w:val="center"/>
                </w:tcPr>
                <w:p>
                  <w:pPr>
                    <w:pStyle w:val="54"/>
                    <w:adjustRightInd/>
                    <w:snapToGrid w:val="0"/>
                  </w:pPr>
                  <w:r>
                    <w:rPr>
                      <w:rFonts w:hint="eastAsia"/>
                    </w:rPr>
                    <w:t>40</w:t>
                  </w:r>
                </w:p>
              </w:tc>
              <w:tc>
                <w:tcPr>
                  <w:tcW w:w="1342" w:type="dxa"/>
                  <w:vAlign w:val="center"/>
                </w:tcPr>
                <w:p>
                  <w:pPr>
                    <w:jc w:val="center"/>
                    <w:rPr>
                      <w:rFonts w:ascii="Times New Roman" w:hAnsi="Times New Roman" w:eastAsia="宋体" w:cs="Times New Roman"/>
                      <w:szCs w:val="21"/>
                    </w:rPr>
                  </w:pPr>
                  <w:r>
                    <w:rPr>
                      <w:rFonts w:ascii="Times New Roman" w:hAnsi="Times New Roman" w:cs="Times New Roman"/>
                      <w:szCs w:val="21"/>
                    </w:rPr>
                    <w:t>37.50</w:t>
                  </w:r>
                </w:p>
              </w:tc>
              <w:tc>
                <w:tcPr>
                  <w:tcW w:w="1342" w:type="dxa"/>
                  <w:vAlign w:val="center"/>
                </w:tcPr>
                <w:p>
                  <w:pPr>
                    <w:pStyle w:val="54"/>
                    <w:adjustRightInd/>
                    <w:snapToGrid w:val="0"/>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shd w:val="clear" w:color="auto" w:fill="F7CAAC" w:themeFill="accent2" w:themeFillTint="66"/>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bCs/>
                      <w:szCs w:val="21"/>
                    </w:rPr>
                    <w:t>PM</w:t>
                  </w:r>
                  <w:r>
                    <w:rPr>
                      <w:rFonts w:hint="eastAsia" w:ascii="Times New Roman" w:hAnsi="Times New Roman" w:eastAsia="宋体" w:cs="Times New Roman"/>
                      <w:b/>
                      <w:bCs/>
                      <w:szCs w:val="21"/>
                      <w:vertAlign w:val="subscript"/>
                    </w:rPr>
                    <w:t>10</w:t>
                  </w:r>
                </w:p>
              </w:tc>
              <w:tc>
                <w:tcPr>
                  <w:tcW w:w="2161" w:type="dxa"/>
                  <w:shd w:val="clear" w:color="auto" w:fill="F7CAAC" w:themeFill="accent2" w:themeFillTint="66"/>
                  <w:vAlign w:val="center"/>
                </w:tcPr>
                <w:p>
                  <w:pPr>
                    <w:pStyle w:val="54"/>
                    <w:adjustRightInd/>
                    <w:snapToGrid w:val="0"/>
                    <w:rPr>
                      <w:b/>
                    </w:rPr>
                  </w:pPr>
                  <w:r>
                    <w:rPr>
                      <w:rFonts w:hint="eastAsia"/>
                      <w:b/>
                    </w:rPr>
                    <w:t>年平均质量浓度</w:t>
                  </w:r>
                </w:p>
              </w:tc>
              <w:tc>
                <w:tcPr>
                  <w:tcW w:w="1241" w:type="dxa"/>
                  <w:shd w:val="clear" w:color="auto" w:fill="F7CAAC" w:themeFill="accent2" w:themeFillTint="66"/>
                  <w:vAlign w:val="center"/>
                </w:tcPr>
                <w:p>
                  <w:pPr>
                    <w:pStyle w:val="54"/>
                    <w:snapToGrid w:val="0"/>
                    <w:rPr>
                      <w:b/>
                    </w:rPr>
                  </w:pPr>
                  <w:r>
                    <w:rPr>
                      <w:rFonts w:hint="eastAsia"/>
                      <w:b/>
                    </w:rPr>
                    <w:t>74</w:t>
                  </w:r>
                </w:p>
              </w:tc>
              <w:tc>
                <w:tcPr>
                  <w:tcW w:w="1134" w:type="dxa"/>
                  <w:shd w:val="clear" w:color="auto" w:fill="F7CAAC" w:themeFill="accent2" w:themeFillTint="66"/>
                  <w:vAlign w:val="center"/>
                </w:tcPr>
                <w:p>
                  <w:pPr>
                    <w:pStyle w:val="54"/>
                    <w:adjustRightInd/>
                    <w:snapToGrid w:val="0"/>
                    <w:rPr>
                      <w:b/>
                    </w:rPr>
                  </w:pPr>
                  <w:r>
                    <w:rPr>
                      <w:rFonts w:hint="eastAsia"/>
                      <w:b/>
                    </w:rPr>
                    <w:t>70</w:t>
                  </w:r>
                </w:p>
              </w:tc>
              <w:tc>
                <w:tcPr>
                  <w:tcW w:w="1342" w:type="dxa"/>
                  <w:shd w:val="clear" w:color="auto" w:fill="F7CAAC" w:themeFill="accent2" w:themeFillTint="66"/>
                  <w:vAlign w:val="center"/>
                </w:tcPr>
                <w:p>
                  <w:pPr>
                    <w:jc w:val="center"/>
                    <w:rPr>
                      <w:rFonts w:ascii="Times New Roman" w:hAnsi="Times New Roman" w:eastAsia="宋体" w:cs="Times New Roman"/>
                      <w:b/>
                      <w:szCs w:val="21"/>
                    </w:rPr>
                  </w:pPr>
                  <w:r>
                    <w:rPr>
                      <w:rFonts w:ascii="Times New Roman" w:hAnsi="Times New Roman" w:cs="Times New Roman"/>
                      <w:b/>
                      <w:szCs w:val="21"/>
                    </w:rPr>
                    <w:t>105.71</w:t>
                  </w:r>
                </w:p>
              </w:tc>
              <w:tc>
                <w:tcPr>
                  <w:tcW w:w="1342" w:type="dxa"/>
                  <w:shd w:val="clear" w:color="auto" w:fill="F7CAAC" w:themeFill="accent2" w:themeFillTint="66"/>
                  <w:vAlign w:val="center"/>
                </w:tcPr>
                <w:p>
                  <w:pPr>
                    <w:pStyle w:val="54"/>
                    <w:adjustRightInd/>
                    <w:snapToGrid w:val="0"/>
                    <w:rPr>
                      <w:b/>
                    </w:rPr>
                  </w:pPr>
                  <w:r>
                    <w:rPr>
                      <w:rFonts w:hint="eastAsia"/>
                      <w:b/>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shd w:val="clear" w:color="auto" w:fill="F7CAAC" w:themeFill="accent2" w:themeFillTint="66"/>
                  <w:vAlign w:val="center"/>
                </w:tcPr>
                <w:p>
                  <w:pPr>
                    <w:snapToGrid w:val="0"/>
                    <w:jc w:val="center"/>
                    <w:rPr>
                      <w:rFonts w:ascii="Times New Roman" w:hAnsi="Times New Roman" w:eastAsia="宋体" w:cs="Times New Roman"/>
                      <w:b/>
                      <w:szCs w:val="21"/>
                    </w:rPr>
                  </w:pPr>
                  <w:r>
                    <w:rPr>
                      <w:rFonts w:hint="eastAsia" w:ascii="Times New Roman" w:hAnsi="Times New Roman" w:eastAsia="宋体" w:cs="Times New Roman"/>
                      <w:b/>
                      <w:bCs/>
                      <w:szCs w:val="21"/>
                    </w:rPr>
                    <w:t>PM</w:t>
                  </w:r>
                  <w:r>
                    <w:rPr>
                      <w:rFonts w:hint="eastAsia" w:ascii="Times New Roman" w:hAnsi="Times New Roman" w:eastAsia="宋体" w:cs="Times New Roman"/>
                      <w:b/>
                      <w:bCs/>
                      <w:szCs w:val="21"/>
                      <w:vertAlign w:val="subscript"/>
                    </w:rPr>
                    <w:t>2.5</w:t>
                  </w:r>
                </w:p>
              </w:tc>
              <w:tc>
                <w:tcPr>
                  <w:tcW w:w="2161" w:type="dxa"/>
                  <w:shd w:val="clear" w:color="auto" w:fill="F7CAAC" w:themeFill="accent2" w:themeFillTint="66"/>
                  <w:vAlign w:val="center"/>
                </w:tcPr>
                <w:p>
                  <w:pPr>
                    <w:pStyle w:val="54"/>
                    <w:adjustRightInd/>
                    <w:snapToGrid w:val="0"/>
                    <w:rPr>
                      <w:b/>
                    </w:rPr>
                  </w:pPr>
                  <w:r>
                    <w:rPr>
                      <w:rFonts w:hint="eastAsia"/>
                      <w:b/>
                    </w:rPr>
                    <w:t>年平均质量浓度</w:t>
                  </w:r>
                </w:p>
              </w:tc>
              <w:tc>
                <w:tcPr>
                  <w:tcW w:w="1241" w:type="dxa"/>
                  <w:shd w:val="clear" w:color="auto" w:fill="F7CAAC" w:themeFill="accent2" w:themeFillTint="66"/>
                  <w:vAlign w:val="center"/>
                </w:tcPr>
                <w:p>
                  <w:pPr>
                    <w:pStyle w:val="54"/>
                    <w:snapToGrid w:val="0"/>
                    <w:rPr>
                      <w:b/>
                    </w:rPr>
                  </w:pPr>
                  <w:r>
                    <w:rPr>
                      <w:rFonts w:hint="eastAsia"/>
                      <w:b/>
                    </w:rPr>
                    <w:t>50</w:t>
                  </w:r>
                </w:p>
              </w:tc>
              <w:tc>
                <w:tcPr>
                  <w:tcW w:w="1134" w:type="dxa"/>
                  <w:shd w:val="clear" w:color="auto" w:fill="F7CAAC" w:themeFill="accent2" w:themeFillTint="66"/>
                  <w:vAlign w:val="center"/>
                </w:tcPr>
                <w:p>
                  <w:pPr>
                    <w:pStyle w:val="54"/>
                    <w:adjustRightInd/>
                    <w:snapToGrid w:val="0"/>
                    <w:rPr>
                      <w:b/>
                    </w:rPr>
                  </w:pPr>
                  <w:r>
                    <w:rPr>
                      <w:rFonts w:hint="eastAsia"/>
                      <w:b/>
                    </w:rPr>
                    <w:t>35</w:t>
                  </w:r>
                </w:p>
              </w:tc>
              <w:tc>
                <w:tcPr>
                  <w:tcW w:w="1342" w:type="dxa"/>
                  <w:shd w:val="clear" w:color="auto" w:fill="F7CAAC" w:themeFill="accent2" w:themeFillTint="66"/>
                  <w:vAlign w:val="center"/>
                </w:tcPr>
                <w:p>
                  <w:pPr>
                    <w:jc w:val="center"/>
                    <w:rPr>
                      <w:rFonts w:ascii="Times New Roman" w:hAnsi="Times New Roman" w:eastAsia="宋体" w:cs="Times New Roman"/>
                      <w:b/>
                      <w:szCs w:val="21"/>
                    </w:rPr>
                  </w:pPr>
                  <w:r>
                    <w:rPr>
                      <w:rFonts w:ascii="Times New Roman" w:hAnsi="Times New Roman" w:cs="Times New Roman"/>
                      <w:b/>
                      <w:szCs w:val="21"/>
                    </w:rPr>
                    <w:t>142.86</w:t>
                  </w:r>
                </w:p>
              </w:tc>
              <w:tc>
                <w:tcPr>
                  <w:tcW w:w="1342" w:type="dxa"/>
                  <w:shd w:val="clear" w:color="auto" w:fill="F7CAAC" w:themeFill="accent2" w:themeFillTint="66"/>
                  <w:vAlign w:val="center"/>
                </w:tcPr>
                <w:p>
                  <w:pPr>
                    <w:pStyle w:val="54"/>
                    <w:adjustRightInd/>
                    <w:snapToGrid w:val="0"/>
                    <w:rPr>
                      <w:b/>
                    </w:rPr>
                  </w:pPr>
                  <w:r>
                    <w:rPr>
                      <w:rFonts w:hint="eastAsia"/>
                      <w:b/>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CO</w:t>
                  </w:r>
                </w:p>
              </w:tc>
              <w:tc>
                <w:tcPr>
                  <w:tcW w:w="2161" w:type="dxa"/>
                  <w:vAlign w:val="center"/>
                </w:tcPr>
                <w:p>
                  <w:pPr>
                    <w:pStyle w:val="54"/>
                    <w:adjustRightInd/>
                    <w:snapToGrid w:val="0"/>
                  </w:pPr>
                  <w:r>
                    <w:rPr>
                      <w:rFonts w:hint="eastAsia"/>
                    </w:rPr>
                    <w:t>城市24小时平均第95百分位数</w:t>
                  </w:r>
                </w:p>
              </w:tc>
              <w:tc>
                <w:tcPr>
                  <w:tcW w:w="1241" w:type="dxa"/>
                  <w:vAlign w:val="center"/>
                </w:tcPr>
                <w:p>
                  <w:pPr>
                    <w:pStyle w:val="54"/>
                    <w:snapToGrid w:val="0"/>
                  </w:pPr>
                  <w:r>
                    <w:rPr>
                      <w:rFonts w:hint="eastAsia"/>
                    </w:rPr>
                    <w:t>1300</w:t>
                  </w:r>
                </w:p>
              </w:tc>
              <w:tc>
                <w:tcPr>
                  <w:tcW w:w="1134" w:type="dxa"/>
                  <w:vAlign w:val="center"/>
                </w:tcPr>
                <w:p>
                  <w:pPr>
                    <w:pStyle w:val="54"/>
                    <w:adjustRightInd/>
                    <w:snapToGrid w:val="0"/>
                  </w:pPr>
                  <w:r>
                    <w:rPr>
                      <w:rFonts w:hint="eastAsia"/>
                    </w:rPr>
                    <w:t>4000</w:t>
                  </w:r>
                </w:p>
                <w:p>
                  <w:pPr>
                    <w:pStyle w:val="54"/>
                    <w:adjustRightInd/>
                    <w:snapToGrid w:val="0"/>
                  </w:pPr>
                  <w:r>
                    <w:rPr>
                      <w:rFonts w:hint="eastAsia"/>
                    </w:rPr>
                    <w:t>（日均值）</w:t>
                  </w:r>
                </w:p>
              </w:tc>
              <w:tc>
                <w:tcPr>
                  <w:tcW w:w="1342" w:type="dxa"/>
                  <w:vAlign w:val="center"/>
                </w:tcPr>
                <w:p>
                  <w:pPr>
                    <w:jc w:val="center"/>
                    <w:rPr>
                      <w:rFonts w:ascii="Times New Roman" w:hAnsi="Times New Roman" w:eastAsia="宋体" w:cs="Times New Roman"/>
                      <w:szCs w:val="21"/>
                    </w:rPr>
                  </w:pPr>
                  <w:r>
                    <w:rPr>
                      <w:rFonts w:ascii="Times New Roman" w:hAnsi="Times New Roman" w:cs="Times New Roman"/>
                      <w:szCs w:val="21"/>
                    </w:rPr>
                    <w:t>32.50</w:t>
                  </w:r>
                </w:p>
              </w:tc>
              <w:tc>
                <w:tcPr>
                  <w:tcW w:w="1342" w:type="dxa"/>
                  <w:vAlign w:val="center"/>
                </w:tcPr>
                <w:p>
                  <w:pPr>
                    <w:pStyle w:val="54"/>
                    <w:adjustRightInd/>
                    <w:snapToGrid w:val="0"/>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603" w:type="dxa"/>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bCs/>
                      <w:szCs w:val="21"/>
                    </w:rPr>
                    <w:t>O</w:t>
                  </w:r>
                  <w:r>
                    <w:rPr>
                      <w:rFonts w:hint="eastAsia" w:ascii="Times New Roman" w:hAnsi="Times New Roman" w:eastAsia="宋体" w:cs="Times New Roman"/>
                      <w:bCs/>
                      <w:szCs w:val="21"/>
                      <w:vertAlign w:val="subscript"/>
                    </w:rPr>
                    <w:t>3</w:t>
                  </w:r>
                </w:p>
              </w:tc>
              <w:tc>
                <w:tcPr>
                  <w:tcW w:w="2161" w:type="dxa"/>
                  <w:vAlign w:val="center"/>
                </w:tcPr>
                <w:p>
                  <w:pPr>
                    <w:pStyle w:val="54"/>
                    <w:adjustRightInd/>
                    <w:snapToGrid w:val="0"/>
                  </w:pPr>
                  <w:r>
                    <w:rPr>
                      <w:rFonts w:hint="eastAsia"/>
                    </w:rPr>
                    <w:t>城市日最大8小时平均第90百分位数</w:t>
                  </w:r>
                </w:p>
              </w:tc>
              <w:tc>
                <w:tcPr>
                  <w:tcW w:w="1241" w:type="dxa"/>
                  <w:vAlign w:val="center"/>
                </w:tcPr>
                <w:p>
                  <w:pPr>
                    <w:pStyle w:val="54"/>
                    <w:snapToGrid w:val="0"/>
                  </w:pPr>
                  <w:r>
                    <w:rPr>
                      <w:rFonts w:hint="eastAsia"/>
                    </w:rPr>
                    <w:t>144</w:t>
                  </w:r>
                </w:p>
              </w:tc>
              <w:tc>
                <w:tcPr>
                  <w:tcW w:w="1134" w:type="dxa"/>
                  <w:vAlign w:val="center"/>
                </w:tcPr>
                <w:p>
                  <w:pPr>
                    <w:pStyle w:val="54"/>
                    <w:adjustRightInd/>
                    <w:snapToGrid w:val="0"/>
                  </w:pPr>
                  <w:r>
                    <w:rPr>
                      <w:rFonts w:hint="eastAsia"/>
                    </w:rPr>
                    <w:t>160</w:t>
                  </w:r>
                </w:p>
                <w:p>
                  <w:pPr>
                    <w:pStyle w:val="54"/>
                    <w:adjustRightInd/>
                    <w:snapToGrid w:val="0"/>
                  </w:pPr>
                  <w:r>
                    <w:rPr>
                      <w:rFonts w:hint="eastAsia"/>
                    </w:rPr>
                    <w:t>（日均值）</w:t>
                  </w:r>
                </w:p>
              </w:tc>
              <w:tc>
                <w:tcPr>
                  <w:tcW w:w="1342" w:type="dxa"/>
                  <w:vAlign w:val="center"/>
                </w:tcPr>
                <w:p>
                  <w:pPr>
                    <w:jc w:val="center"/>
                    <w:rPr>
                      <w:rFonts w:ascii="Times New Roman" w:hAnsi="Times New Roman" w:eastAsia="宋体" w:cs="Times New Roman"/>
                      <w:szCs w:val="21"/>
                    </w:rPr>
                  </w:pPr>
                  <w:r>
                    <w:rPr>
                      <w:rFonts w:ascii="Times New Roman" w:hAnsi="Times New Roman" w:cs="Times New Roman"/>
                      <w:szCs w:val="21"/>
                    </w:rPr>
                    <w:t>90.00</w:t>
                  </w:r>
                </w:p>
              </w:tc>
              <w:tc>
                <w:tcPr>
                  <w:tcW w:w="1342" w:type="dxa"/>
                  <w:vAlign w:val="center"/>
                </w:tcPr>
                <w:p>
                  <w:pPr>
                    <w:pStyle w:val="54"/>
                    <w:adjustRightInd/>
                    <w:snapToGrid w:val="0"/>
                  </w:pPr>
                  <w:r>
                    <w:rPr>
                      <w:rFonts w:hint="eastAsia"/>
                    </w:rPr>
                    <w:t>达标</w:t>
                  </w:r>
                </w:p>
              </w:tc>
            </w:tr>
          </w:tbl>
          <w:p>
            <w:pPr>
              <w:adjustRightInd w:val="0"/>
              <w:snapToGrid w:val="0"/>
              <w:spacing w:line="360" w:lineRule="auto"/>
              <w:ind w:firstLine="496" w:firstLineChars="200"/>
              <w:rPr>
                <w:rFonts w:ascii="Times New Roman" w:hAnsi="Times New Roman" w:cs="Times New Roman"/>
                <w:spacing w:val="4"/>
                <w:sz w:val="24"/>
              </w:rPr>
            </w:pPr>
            <w:r>
              <w:rPr>
                <w:rFonts w:hint="eastAsia" w:ascii="Times New Roman" w:hAnsi="Times New Roman" w:cs="Times New Roman"/>
                <w:spacing w:val="4"/>
                <w:sz w:val="24"/>
              </w:rPr>
              <w:t>邵东县空气质量监测站点（邵东县政府大楼）距离本项目所在地20.3km，不在大气环境影响评价范围内，但根据《环境影响评价技术导则 大气环境》（HJ 2.2-2018），“6.2.1.3 评价范围内没有环境空气质量监测网数据或公开发布的环境空气质量现状数据的，可选择符合HJ664规定，并且与评价范围内地理位置邻近，地形、气候条件相近的环境空气质量城市点或区域点监测数据。”而根据《环境空气质量监测点位布设技术规范（试行）》（HJ 664-2013），环境空气质量评价城市点代表范围可扩大到半径4千米至几十千米，而环境空气质量评价区域点达标范围则一般可达半径几十千米。本项目与监测站点距离20.3km，地理位置邻近，地形、气候条件相近，总体来说，该站点数据有效性符合HJ664规定和导则要求，因此本环评引用的环境空气质量站点监测数据可以代表本项目区域环境空气质量现状。</w:t>
            </w:r>
          </w:p>
          <w:p>
            <w:pPr>
              <w:spacing w:line="360" w:lineRule="auto"/>
              <w:ind w:firstLine="480" w:firstLineChars="200"/>
              <w:jc w:val="left"/>
              <w:rPr>
                <w:rFonts w:ascii="Times New Roman" w:hAnsi="Times New Roman" w:cs="Times New Roman"/>
                <w:kern w:val="24"/>
                <w:sz w:val="24"/>
              </w:rPr>
            </w:pPr>
            <w:r>
              <w:rPr>
                <w:rFonts w:hint="eastAsia" w:ascii="Times New Roman" w:hAnsi="Times New Roman" w:cs="Times New Roman"/>
                <w:sz w:val="24"/>
              </w:rPr>
              <w:t>综上，根据</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_Ref497147348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表3-</w:t>
            </w:r>
            <w:r>
              <w:rPr>
                <w:rFonts w:ascii="Times New Roman" w:hAnsi="Times New Roman" w:cs="Times New Roman"/>
                <w:sz w:val="24"/>
              </w:rPr>
              <w:t>1</w:t>
            </w:r>
            <w:r>
              <w:rPr>
                <w:rFonts w:ascii="Times New Roman" w:hAnsi="Times New Roman" w:cs="Times New Roman"/>
                <w:sz w:val="24"/>
              </w:rPr>
              <w:fldChar w:fldCharType="end"/>
            </w:r>
            <w:r>
              <w:rPr>
                <w:rFonts w:hint="eastAsia" w:ascii="Times New Roman" w:hAnsi="Times New Roman" w:cs="Times New Roman"/>
                <w:sz w:val="24"/>
              </w:rPr>
              <w:t>统计结果可知，2017年本项目所在区域环境空气中细颗粒物（PM</w:t>
            </w:r>
            <w:r>
              <w:rPr>
                <w:rFonts w:hint="eastAsia" w:ascii="Times New Roman" w:hAnsi="Times New Roman" w:cs="Times New Roman"/>
                <w:sz w:val="24"/>
                <w:vertAlign w:val="subscript"/>
              </w:rPr>
              <w:t>2.5</w:t>
            </w:r>
            <w:r>
              <w:rPr>
                <w:rFonts w:hint="eastAsia" w:ascii="Times New Roman" w:hAnsi="Times New Roman" w:cs="Times New Roman"/>
                <w:sz w:val="24"/>
              </w:rPr>
              <w:t>）年平均浓度为50</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，可吸入颗粒物（PM</w:t>
            </w:r>
            <w:r>
              <w:rPr>
                <w:rFonts w:hint="eastAsia" w:ascii="Times New Roman" w:hAnsi="Times New Roman" w:cs="Times New Roman"/>
                <w:sz w:val="24"/>
                <w:vertAlign w:val="subscript"/>
              </w:rPr>
              <w:t>10</w:t>
            </w:r>
            <w:r>
              <w:rPr>
                <w:rFonts w:hint="eastAsia" w:ascii="Times New Roman" w:hAnsi="Times New Roman" w:cs="Times New Roman"/>
                <w:sz w:val="24"/>
              </w:rPr>
              <w:t>）年平均浓度为74</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，均超过了《环境空气质量标准》（GB3095-2012）中的二级标准限值，因此项目所在区域为非达标区。</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1.2地表水环境现状调查与评价</w:t>
            </w:r>
          </w:p>
          <w:p>
            <w:pPr>
              <w:widowControl/>
              <w:spacing w:line="360" w:lineRule="auto"/>
              <w:ind w:firstLine="496" w:firstLineChars="200"/>
              <w:rPr>
                <w:rFonts w:ascii="Times New Roman" w:hAnsi="Times New Roman" w:cs="Times New Roman"/>
                <w:spacing w:val="4"/>
                <w:sz w:val="24"/>
              </w:rPr>
            </w:pPr>
            <w:r>
              <w:rPr>
                <w:rFonts w:hint="eastAsia" w:ascii="Times New Roman" w:hAnsi="Times New Roman" w:cs="Times New Roman"/>
                <w:spacing w:val="4"/>
                <w:sz w:val="24"/>
              </w:rPr>
              <w:t>本项目拟建地周边1000m范围内无大型地表水体，且本项目生产废水经沉淀后回用于生产，生活污水经化粪池处理后用作农肥，不外排。本环评不对地表水环境质量现状进行监测和评价。</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1.</w:t>
            </w:r>
            <w:r>
              <w:rPr>
                <w:rFonts w:hint="eastAsia" w:ascii="Times New Roman" w:hAnsi="Times New Roman" w:cs="Times New Roman"/>
                <w:b/>
                <w:sz w:val="24"/>
              </w:rPr>
              <w:t>3</w:t>
            </w:r>
            <w:r>
              <w:rPr>
                <w:rFonts w:ascii="Times New Roman" w:hAnsi="Times New Roman" w:cs="Times New Roman"/>
                <w:b/>
                <w:sz w:val="24"/>
              </w:rPr>
              <w:t>环境噪声现状调查与评价</w:t>
            </w:r>
          </w:p>
          <w:p>
            <w:pPr>
              <w:spacing w:line="360" w:lineRule="auto"/>
              <w:ind w:firstLine="480" w:firstLineChars="200"/>
              <w:rPr>
                <w:rFonts w:ascii="Times New Roman" w:hAnsi="Times New Roman" w:cs="Times New Roman"/>
                <w:sz w:val="24"/>
              </w:rPr>
            </w:pPr>
            <w:r>
              <w:rPr>
                <w:rFonts w:ascii="Times New Roman" w:hAnsi="Times New Roman" w:eastAsia="宋体" w:cs="Times New Roman"/>
                <w:sz w:val="24"/>
              </w:rPr>
              <w:t>为了解评价区域声环境质量现状，</w:t>
            </w:r>
            <w:r>
              <w:rPr>
                <w:rFonts w:ascii="Times New Roman" w:hAnsi="Times New Roman" w:eastAsia="宋体" w:cs="Times New Roman"/>
                <w:spacing w:val="4"/>
                <w:sz w:val="24"/>
              </w:rPr>
              <w:t>本次评价</w:t>
            </w:r>
            <w:r>
              <w:rPr>
                <w:rFonts w:ascii="Times New Roman" w:hAnsi="Times New Roman" w:eastAsia="宋体" w:cs="Times New Roman"/>
                <w:sz w:val="24"/>
              </w:rPr>
              <w:t>委托</w:t>
            </w:r>
            <w:r>
              <w:rPr>
                <w:rFonts w:hint="eastAsia" w:ascii="Times New Roman" w:hAnsi="Times New Roman" w:eastAsia="宋体" w:cs="Times New Roman"/>
                <w:sz w:val="24"/>
              </w:rPr>
              <w:t>中石检测有限公司</w:t>
            </w:r>
            <w:r>
              <w:rPr>
                <w:rFonts w:ascii="Times New Roman" w:hAnsi="Times New Roman" w:eastAsia="宋体" w:cs="Times New Roman"/>
                <w:sz w:val="24"/>
              </w:rPr>
              <w:t>对项目所在区域</w:t>
            </w:r>
            <w:r>
              <w:rPr>
                <w:rFonts w:hint="eastAsia" w:ascii="Times New Roman" w:hAnsi="Times New Roman" w:eastAsia="宋体" w:cs="Times New Roman"/>
                <w:sz w:val="24"/>
              </w:rPr>
              <w:t>声环境质量</w:t>
            </w:r>
            <w:r>
              <w:rPr>
                <w:rFonts w:ascii="Times New Roman" w:hAnsi="Times New Roman" w:eastAsia="宋体" w:cs="Times New Roman"/>
                <w:sz w:val="24"/>
              </w:rPr>
              <w:t>进行了监测，监测时间</w:t>
            </w:r>
            <w:r>
              <w:rPr>
                <w:rFonts w:ascii="Times New Roman" w:hAnsi="Times New Roman" w:eastAsia="宋体" w:cs="Times New Roman"/>
                <w:spacing w:val="4"/>
                <w:sz w:val="24"/>
              </w:rPr>
              <w:t>为</w:t>
            </w:r>
            <w:r>
              <w:rPr>
                <w:rFonts w:ascii="Times New Roman" w:hAnsi="Times New Roman" w:cs="Times New Roman"/>
                <w:spacing w:val="4"/>
                <w:sz w:val="24"/>
              </w:rPr>
              <w:t>201</w:t>
            </w:r>
            <w:r>
              <w:rPr>
                <w:rFonts w:hint="eastAsia" w:ascii="Times New Roman" w:hAnsi="Times New Roman" w:eastAsia="宋体" w:cs="Times New Roman"/>
                <w:spacing w:val="4"/>
                <w:sz w:val="24"/>
              </w:rPr>
              <w:t>9</w:t>
            </w:r>
            <w:r>
              <w:rPr>
                <w:rFonts w:ascii="Times New Roman" w:hAnsi="Times New Roman" w:cs="Times New Roman"/>
                <w:spacing w:val="4"/>
                <w:sz w:val="24"/>
              </w:rPr>
              <w:t>年</w:t>
            </w:r>
            <w:r>
              <w:rPr>
                <w:rFonts w:hint="eastAsia" w:ascii="Times New Roman" w:hAnsi="Times New Roman" w:eastAsia="宋体" w:cs="Times New Roman"/>
                <w:spacing w:val="4"/>
                <w:sz w:val="24"/>
              </w:rPr>
              <w:t>4</w:t>
            </w:r>
            <w:r>
              <w:rPr>
                <w:rFonts w:ascii="Times New Roman" w:hAnsi="Times New Roman" w:cs="Times New Roman"/>
                <w:spacing w:val="4"/>
                <w:sz w:val="24"/>
              </w:rPr>
              <w:t>月</w:t>
            </w:r>
            <w:r>
              <w:rPr>
                <w:rFonts w:hint="eastAsia" w:ascii="Times New Roman" w:hAnsi="Times New Roman" w:cs="Times New Roman"/>
                <w:spacing w:val="4"/>
                <w:sz w:val="24"/>
              </w:rPr>
              <w:t>16日</w:t>
            </w:r>
            <w:r>
              <w:rPr>
                <w:rFonts w:ascii="Times New Roman" w:hAnsi="Times New Roman" w:cs="Times New Roman"/>
                <w:spacing w:val="4"/>
                <w:sz w:val="24"/>
              </w:rPr>
              <w:t>~</w:t>
            </w:r>
            <w:r>
              <w:rPr>
                <w:rFonts w:hint="eastAsia" w:ascii="Times New Roman" w:hAnsi="Times New Roman" w:cs="Times New Roman"/>
                <w:spacing w:val="4"/>
                <w:sz w:val="24"/>
              </w:rPr>
              <w:t>17</w:t>
            </w:r>
            <w:r>
              <w:rPr>
                <w:rFonts w:ascii="Times New Roman" w:hAnsi="Times New Roman" w:cs="Times New Roman"/>
                <w:spacing w:val="4"/>
                <w:sz w:val="24"/>
              </w:rPr>
              <w:t>日</w:t>
            </w:r>
            <w:r>
              <w:rPr>
                <w:rFonts w:ascii="Times New Roman" w:hAnsi="Times New Roman" w:eastAsia="宋体" w:cs="Times New Roman"/>
                <w:spacing w:val="4"/>
                <w:sz w:val="24"/>
              </w:rPr>
              <w:t>，</w:t>
            </w:r>
            <w:r>
              <w:rPr>
                <w:rFonts w:ascii="Times New Roman" w:hAnsi="Times New Roman" w:eastAsia="宋体" w:cs="Times New Roman"/>
                <w:sz w:val="24"/>
              </w:rPr>
              <w:t>监测结果</w:t>
            </w:r>
            <w:r>
              <w:rPr>
                <w:rFonts w:hint="eastAsia" w:ascii="Times New Roman" w:hAnsi="Times New Roman" w:cs="Times New Roman"/>
                <w:sz w:val="24"/>
              </w:rPr>
              <w:t>见</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_Ref492655965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表3-</w:t>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t>。</w:t>
            </w:r>
          </w:p>
          <w:p>
            <w:pPr>
              <w:pStyle w:val="38"/>
              <w:spacing w:before="156"/>
              <w:rPr>
                <w:color w:val="auto"/>
              </w:rPr>
            </w:pPr>
            <w:bookmarkStart w:id="36" w:name="_Ref492655965"/>
            <w:r>
              <w:rPr>
                <w:rFonts w:hint="eastAsia"/>
                <w:color w:val="auto"/>
              </w:rPr>
              <w:t>表3-</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2</w:t>
            </w:r>
            <w:r>
              <w:rPr>
                <w:color w:val="auto"/>
              </w:rPr>
              <w:fldChar w:fldCharType="end"/>
            </w:r>
            <w:bookmarkEnd w:id="36"/>
            <w:r>
              <w:rPr>
                <w:color w:val="auto"/>
              </w:rPr>
              <w:t xml:space="preserve">  </w:t>
            </w:r>
            <w:r>
              <w:rPr>
                <w:rFonts w:hint="eastAsia"/>
                <w:color w:val="auto"/>
              </w:rPr>
              <w:t xml:space="preserve"> </w:t>
            </w:r>
            <w:r>
              <w:rPr>
                <w:color w:val="auto"/>
              </w:rPr>
              <w:t>噪声监测结果</w:t>
            </w:r>
          </w:p>
          <w:p>
            <w:pPr>
              <w:widowControl/>
              <w:spacing w:line="460" w:lineRule="exact"/>
              <w:jc w:val="right"/>
              <w:rPr>
                <w:rFonts w:ascii="Times New Roman" w:hAnsi="Times New Roman" w:eastAsia="宋体" w:cs="Times New Roman"/>
                <w:b/>
                <w:bCs/>
                <w:sz w:val="24"/>
              </w:rPr>
            </w:pPr>
            <w:r>
              <w:rPr>
                <w:rFonts w:ascii="Times New Roman" w:hAnsi="Times New Roman" w:eastAsia="黑体" w:cs="Times New Roman"/>
                <w:bCs/>
                <w:szCs w:val="21"/>
              </w:rPr>
              <w:t>单位：dB(A)</w:t>
            </w:r>
          </w:p>
          <w:tbl>
            <w:tblPr>
              <w:tblStyle w:val="25"/>
              <w:tblW w:w="90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118"/>
              <w:gridCol w:w="1276"/>
              <w:gridCol w:w="1276"/>
              <w:gridCol w:w="1276"/>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3118" w:type="dxa"/>
                  <w:vMerge w:val="restart"/>
                  <w:vAlign w:val="center"/>
                </w:tcPr>
                <w:p>
                  <w:pPr>
                    <w:jc w:val="center"/>
                    <w:rPr>
                      <w:rFonts w:ascii="Times New Roman" w:hAnsi="Times New Roman" w:cs="Times New Roman"/>
                      <w:b/>
                      <w:bCs/>
                      <w:szCs w:val="21"/>
                      <w:highlight w:val="yellow"/>
                    </w:rPr>
                  </w:pPr>
                  <w:r>
                    <w:rPr>
                      <w:rFonts w:ascii="Times New Roman" w:hAnsi="Times New Roman" w:cs="Times New Roman"/>
                      <w:b/>
                      <w:bCs/>
                      <w:szCs w:val="21"/>
                    </w:rPr>
                    <w:t>监 测 点 位</w:t>
                  </w:r>
                </w:p>
              </w:tc>
              <w:tc>
                <w:tcPr>
                  <w:tcW w:w="2552" w:type="dxa"/>
                  <w:gridSpan w:val="2"/>
                  <w:vAlign w:val="center"/>
                </w:tcPr>
                <w:p>
                  <w:pPr>
                    <w:jc w:val="center"/>
                    <w:rPr>
                      <w:rFonts w:ascii="Times New Roman" w:hAnsi="Times New Roman" w:cs="Times New Roman"/>
                      <w:b/>
                      <w:bCs/>
                      <w:szCs w:val="21"/>
                    </w:rPr>
                  </w:pPr>
                  <w:r>
                    <w:rPr>
                      <w:rFonts w:hint="eastAsia" w:ascii="Times New Roman" w:hAnsi="Times New Roman" w:cs="Times New Roman"/>
                      <w:b/>
                      <w:bCs/>
                      <w:szCs w:val="21"/>
                    </w:rPr>
                    <w:t>昼间噪声</w:t>
                  </w:r>
                </w:p>
              </w:tc>
              <w:tc>
                <w:tcPr>
                  <w:tcW w:w="2539" w:type="dxa"/>
                  <w:gridSpan w:val="2"/>
                  <w:vAlign w:val="center"/>
                </w:tcPr>
                <w:p>
                  <w:pPr>
                    <w:jc w:val="center"/>
                    <w:rPr>
                      <w:rFonts w:ascii="Times New Roman" w:hAnsi="Times New Roman" w:cs="Times New Roman"/>
                      <w:b/>
                      <w:bCs/>
                      <w:szCs w:val="21"/>
                    </w:rPr>
                  </w:pPr>
                  <w:r>
                    <w:rPr>
                      <w:rFonts w:hint="eastAsia" w:ascii="Times New Roman" w:hAnsi="Times New Roman" w:cs="Times New Roman"/>
                      <w:b/>
                      <w:bCs/>
                      <w:szCs w:val="21"/>
                    </w:rPr>
                    <w:t>夜间噪声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Merge w:val="continue"/>
                  <w:vAlign w:val="center"/>
                </w:tcPr>
                <w:p>
                  <w:pPr>
                    <w:jc w:val="center"/>
                    <w:rPr>
                      <w:rFonts w:ascii="Times New Roman" w:hAnsi="Times New Roman" w:cs="Times New Roman"/>
                      <w:szCs w:val="21"/>
                    </w:rPr>
                  </w:pPr>
                </w:p>
              </w:tc>
              <w:tc>
                <w:tcPr>
                  <w:tcW w:w="3118" w:type="dxa"/>
                  <w:vMerge w:val="continue"/>
                  <w:vAlign w:val="center"/>
                </w:tcPr>
                <w:p>
                  <w:pPr>
                    <w:jc w:val="center"/>
                    <w:rPr>
                      <w:rFonts w:ascii="Times New Roman" w:hAnsi="Times New Roman" w:cs="Times New Roman"/>
                      <w:szCs w:val="21"/>
                    </w:rPr>
                  </w:pPr>
                </w:p>
              </w:tc>
              <w:tc>
                <w:tcPr>
                  <w:tcW w:w="1276" w:type="dxa"/>
                  <w:vAlign w:val="center"/>
                </w:tcPr>
                <w:p>
                  <w:pPr>
                    <w:jc w:val="center"/>
                    <w:rPr>
                      <w:rFonts w:ascii="Times New Roman" w:hAnsi="Times New Roman" w:cs="Times New Roman"/>
                      <w:b/>
                      <w:szCs w:val="21"/>
                    </w:rPr>
                  </w:pPr>
                  <w:r>
                    <w:rPr>
                      <w:rFonts w:hint="eastAsia" w:ascii="Times New Roman" w:hAnsi="Times New Roman" w:cs="Times New Roman"/>
                      <w:b/>
                      <w:szCs w:val="21"/>
                    </w:rPr>
                    <w:t>2019.04.16</w:t>
                  </w:r>
                </w:p>
              </w:tc>
              <w:tc>
                <w:tcPr>
                  <w:tcW w:w="1276"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2019.04.17</w:t>
                  </w:r>
                </w:p>
              </w:tc>
              <w:tc>
                <w:tcPr>
                  <w:tcW w:w="1276" w:type="dxa"/>
                  <w:vAlign w:val="center"/>
                </w:tcPr>
                <w:p>
                  <w:pPr>
                    <w:jc w:val="center"/>
                    <w:rPr>
                      <w:rFonts w:ascii="Times New Roman" w:hAnsi="Times New Roman" w:cs="Times New Roman"/>
                      <w:b/>
                      <w:szCs w:val="21"/>
                    </w:rPr>
                  </w:pPr>
                  <w:r>
                    <w:rPr>
                      <w:rFonts w:hint="eastAsia" w:ascii="Times New Roman" w:hAnsi="Times New Roman" w:cs="Times New Roman"/>
                      <w:b/>
                      <w:szCs w:val="21"/>
                    </w:rPr>
                    <w:t>2019.04.16</w:t>
                  </w:r>
                </w:p>
              </w:tc>
              <w:tc>
                <w:tcPr>
                  <w:tcW w:w="1263"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2019.04.17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jc w:val="center"/>
                    <w:rPr>
                      <w:rFonts w:ascii="Times New Roman" w:hAnsi="Times New Roman"/>
                      <w:szCs w:val="21"/>
                    </w:rPr>
                  </w:pPr>
                  <w:r>
                    <w:rPr>
                      <w:rFonts w:ascii="Times New Roman" w:hAnsi="Times New Roman"/>
                      <w:szCs w:val="21"/>
                    </w:rPr>
                    <w:t>N1：项目东厂界外侧1m处</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54.8</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55.4</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41.7</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jc w:val="center"/>
                    <w:rPr>
                      <w:rFonts w:ascii="Times New Roman" w:hAnsi="Times New Roman"/>
                      <w:szCs w:val="21"/>
                    </w:rPr>
                  </w:pPr>
                  <w:r>
                    <w:rPr>
                      <w:rFonts w:ascii="Times New Roman" w:hAnsi="Times New Roman"/>
                      <w:szCs w:val="21"/>
                    </w:rPr>
                    <w:t>N2：项目南厂界外侧1m处</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52.4</w:t>
                  </w:r>
                </w:p>
              </w:tc>
              <w:tc>
                <w:tcPr>
                  <w:tcW w:w="1276" w:type="dxa"/>
                  <w:vAlign w:val="center"/>
                </w:tcPr>
                <w:p>
                  <w:pPr>
                    <w:spacing w:line="120" w:lineRule="atLeast"/>
                    <w:jc w:val="center"/>
                    <w:rPr>
                      <w:rFonts w:ascii="Times New Roman" w:hAnsi="Times New Roman"/>
                    </w:rPr>
                  </w:pPr>
                  <w:r>
                    <w:rPr>
                      <w:rFonts w:hint="eastAsia" w:ascii="Times New Roman" w:hAnsi="Times New Roman"/>
                    </w:rPr>
                    <w:t>53.3</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43.8</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jc w:val="center"/>
                    <w:rPr>
                      <w:rFonts w:ascii="Times New Roman" w:hAnsi="Times New Roman"/>
                      <w:szCs w:val="21"/>
                    </w:rPr>
                  </w:pPr>
                  <w:r>
                    <w:rPr>
                      <w:rFonts w:ascii="Times New Roman" w:hAnsi="Times New Roman"/>
                      <w:szCs w:val="21"/>
                    </w:rPr>
                    <w:t>N3：项目西厂界外侧1m处</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53.2</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52.7</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45.7</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jc w:val="center"/>
                    <w:rPr>
                      <w:rFonts w:ascii="Times New Roman" w:hAnsi="Times New Roman"/>
                      <w:kern w:val="0"/>
                      <w:sz w:val="20"/>
                      <w:lang w:bidi="ar"/>
                    </w:rPr>
                  </w:pPr>
                  <w:r>
                    <w:rPr>
                      <w:rFonts w:ascii="Times New Roman" w:hAnsi="Times New Roman"/>
                      <w:szCs w:val="21"/>
                    </w:rPr>
                    <w:t>N4：项目北</w:t>
                  </w:r>
                  <w:r>
                    <w:rPr>
                      <w:rFonts w:hint="eastAsia" w:ascii="Times New Roman" w:hAnsi="Times New Roman"/>
                      <w:szCs w:val="21"/>
                    </w:rPr>
                    <w:t>厂</w:t>
                  </w:r>
                  <w:r>
                    <w:rPr>
                      <w:rFonts w:ascii="Times New Roman" w:hAnsi="Times New Roman"/>
                      <w:szCs w:val="21"/>
                    </w:rPr>
                    <w:t>界外侧1m处</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53.7</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52.2</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44.2</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spacing w:line="300" w:lineRule="auto"/>
                    <w:jc w:val="center"/>
                    <w:rPr>
                      <w:rFonts w:ascii="Times New Roman" w:hAnsi="Times New Roman"/>
                      <w:szCs w:val="21"/>
                    </w:rPr>
                  </w:pPr>
                  <w:r>
                    <w:rPr>
                      <w:rFonts w:ascii="Times New Roman" w:hAnsi="Times New Roman"/>
                      <w:szCs w:val="21"/>
                    </w:rPr>
                    <w:t>N</w:t>
                  </w:r>
                  <w:r>
                    <w:rPr>
                      <w:rFonts w:hint="eastAsia" w:ascii="Times New Roman" w:hAnsi="Times New Roman"/>
                      <w:szCs w:val="21"/>
                    </w:rPr>
                    <w:t>5</w:t>
                  </w:r>
                  <w:r>
                    <w:rPr>
                      <w:rFonts w:ascii="Times New Roman" w:hAnsi="Times New Roman"/>
                      <w:szCs w:val="21"/>
                    </w:rPr>
                    <w:t>：项目</w:t>
                  </w:r>
                  <w:r>
                    <w:rPr>
                      <w:rFonts w:hint="eastAsia" w:ascii="Times New Roman" w:hAnsi="Times New Roman"/>
                      <w:szCs w:val="21"/>
                    </w:rPr>
                    <w:t>厂区北侧80m处堂冲垇居民点</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52.8</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54.2</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45.1</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1" w:type="dxa"/>
                  <w:vAlign w:val="center"/>
                </w:tcPr>
                <w:p>
                  <w:pPr>
                    <w:pStyle w:val="53"/>
                    <w:numPr>
                      <w:ilvl w:val="0"/>
                      <w:numId w:val="8"/>
                    </w:numPr>
                    <w:ind w:firstLineChars="0"/>
                    <w:jc w:val="center"/>
                    <w:rPr>
                      <w:rFonts w:ascii="Times New Roman" w:hAnsi="Times New Roman" w:cs="Times New Roman"/>
                      <w:szCs w:val="21"/>
                    </w:rPr>
                  </w:pPr>
                </w:p>
              </w:tc>
              <w:tc>
                <w:tcPr>
                  <w:tcW w:w="3118" w:type="dxa"/>
                  <w:vAlign w:val="center"/>
                </w:tcPr>
                <w:p>
                  <w:pPr>
                    <w:spacing w:line="300" w:lineRule="auto"/>
                    <w:jc w:val="center"/>
                    <w:rPr>
                      <w:rFonts w:ascii="Times New Roman" w:hAnsi="Times New Roman"/>
                      <w:szCs w:val="21"/>
                    </w:rPr>
                  </w:pPr>
                  <w:r>
                    <w:rPr>
                      <w:rFonts w:ascii="Times New Roman" w:hAnsi="Times New Roman"/>
                      <w:szCs w:val="21"/>
                    </w:rPr>
                    <w:t>N</w:t>
                  </w:r>
                  <w:r>
                    <w:rPr>
                      <w:rFonts w:hint="eastAsia" w:ascii="Times New Roman" w:hAnsi="Times New Roman"/>
                      <w:szCs w:val="21"/>
                    </w:rPr>
                    <w:t>6</w:t>
                  </w:r>
                  <w:r>
                    <w:rPr>
                      <w:rFonts w:ascii="Times New Roman" w:hAnsi="Times New Roman"/>
                      <w:szCs w:val="21"/>
                    </w:rPr>
                    <w:t>：项目</w:t>
                  </w:r>
                  <w:r>
                    <w:rPr>
                      <w:rFonts w:hint="eastAsia" w:ascii="Times New Roman" w:hAnsi="Times New Roman"/>
                      <w:szCs w:val="21"/>
                    </w:rPr>
                    <w:t>厂区南侧140m处龙新村长冲居民点</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53.9</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53.3</w:t>
                  </w:r>
                </w:p>
              </w:tc>
              <w:tc>
                <w:tcPr>
                  <w:tcW w:w="1276" w:type="dxa"/>
                  <w:vAlign w:val="center"/>
                </w:tcPr>
                <w:p>
                  <w:pPr>
                    <w:spacing w:line="120" w:lineRule="atLeast"/>
                    <w:jc w:val="center"/>
                    <w:rPr>
                      <w:rFonts w:ascii="Times New Roman" w:hAnsi="Times New Roman"/>
                      <w:szCs w:val="21"/>
                    </w:rPr>
                  </w:pPr>
                  <w:r>
                    <w:rPr>
                      <w:rFonts w:hint="eastAsia" w:ascii="Times New Roman" w:hAnsi="Times New Roman"/>
                      <w:szCs w:val="21"/>
                    </w:rPr>
                    <w:t>46.3</w:t>
                  </w:r>
                </w:p>
              </w:tc>
              <w:tc>
                <w:tcPr>
                  <w:tcW w:w="1263" w:type="dxa"/>
                  <w:vAlign w:val="center"/>
                </w:tcPr>
                <w:p>
                  <w:pPr>
                    <w:spacing w:line="120" w:lineRule="atLeast"/>
                    <w:jc w:val="center"/>
                    <w:rPr>
                      <w:rFonts w:ascii="Times New Roman" w:hAnsi="Times New Roman"/>
                      <w:szCs w:val="21"/>
                    </w:rPr>
                  </w:pPr>
                  <w:r>
                    <w:rPr>
                      <w:rFonts w:hint="eastAsia" w:ascii="Times New Roman" w:hAnsi="Times New Roman"/>
                      <w:szCs w:val="21"/>
                    </w:rPr>
                    <w:t>43.5</w:t>
                  </w:r>
                </w:p>
              </w:tc>
            </w:tr>
          </w:tbl>
          <w:p>
            <w:pPr>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w:t>
            </w:r>
            <w:r>
              <w:rPr>
                <w:rFonts w:hint="eastAsia" w:ascii="Times New Roman" w:hAnsi="Times New Roman" w:eastAsia="宋体" w:cs="Times New Roman"/>
                <w:sz w:val="24"/>
              </w:rPr>
              <w:t>噪声</w:t>
            </w:r>
            <w:r>
              <w:rPr>
                <w:rFonts w:ascii="Times New Roman" w:hAnsi="Times New Roman" w:eastAsia="宋体" w:cs="Times New Roman"/>
                <w:sz w:val="24"/>
              </w:rPr>
              <w:t>监测结果，</w:t>
            </w:r>
            <w:r>
              <w:rPr>
                <w:rFonts w:hint="eastAsia" w:ascii="Times New Roman" w:hAnsi="Times New Roman" w:eastAsia="宋体" w:cs="Times New Roman"/>
                <w:sz w:val="24"/>
              </w:rPr>
              <w:t>项目所在区域内噪声监测点的噪声均</w:t>
            </w:r>
            <w:r>
              <w:rPr>
                <w:rFonts w:ascii="Times New Roman" w:hAnsi="Times New Roman" w:eastAsia="宋体" w:cs="Times New Roman"/>
                <w:sz w:val="24"/>
              </w:rPr>
              <w:t>符合《声环境质量标准》（GB3096-2008）中的</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功能区</w:t>
            </w:r>
            <w:r>
              <w:rPr>
                <w:rFonts w:ascii="Times New Roman" w:hAnsi="Times New Roman" w:eastAsia="宋体" w:cs="Times New Roman"/>
                <w:sz w:val="24"/>
              </w:rPr>
              <w:t>标准</w:t>
            </w:r>
            <w:r>
              <w:rPr>
                <w:rFonts w:hint="eastAsia" w:ascii="Times New Roman" w:hAnsi="Times New Roman" w:eastAsia="宋体" w:cs="Times New Roman"/>
                <w:sz w:val="24"/>
              </w:rPr>
              <w:t>限值要求，</w:t>
            </w:r>
            <w:r>
              <w:rPr>
                <w:rFonts w:hint="eastAsia" w:ascii="Times New Roman" w:hAnsi="Times New Roman" w:cs="Times New Roman"/>
                <w:sz w:val="24"/>
              </w:rPr>
              <w:t>表明区域内声环境质量现状良好</w:t>
            </w:r>
            <w:r>
              <w:rPr>
                <w:rFonts w:ascii="Times New Roman" w:hAnsi="Times New Roman" w:eastAsia="宋体" w:cs="Times New Roman"/>
                <w:sz w:val="24"/>
              </w:rPr>
              <w:t>。</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1.</w:t>
            </w:r>
            <w:r>
              <w:rPr>
                <w:rFonts w:hint="eastAsia" w:ascii="Times New Roman" w:hAnsi="Times New Roman" w:cs="Times New Roman"/>
                <w:b/>
                <w:sz w:val="24"/>
              </w:rPr>
              <w:t>4</w:t>
            </w:r>
            <w:r>
              <w:rPr>
                <w:rFonts w:ascii="Times New Roman" w:hAnsi="Times New Roman" w:cs="Times New Roman"/>
                <w:b/>
                <w:sz w:val="24"/>
              </w:rPr>
              <w:t>生态环境</w:t>
            </w:r>
            <w:r>
              <w:rPr>
                <w:rFonts w:hint="eastAsia" w:ascii="Times New Roman" w:hAnsi="Times New Roman" w:cs="Times New Roman"/>
                <w:b/>
                <w:sz w:val="24"/>
              </w:rPr>
              <w:t>质量现状</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现场踏勘，评价区域位于邵东县火厂坪镇镇区东南侧，所在区域由于多年人工垦殖，植被方面现无原始植被，除耕作地带外，多代逆向演替产生的马尾松纯林、稀疏林和残林地遍布境内，形成马尾松——白栎——铁芒箕禾草群落。项目周边2.5km范围内分布有较多采石场，各采石场造成了一定的生态破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所在区域人类活动频繁，主要野生动物为田鼠、青蛙、蛇、山雀等常见物种，家畜以牛、羊、猪为主，家禽以鸡、鸭、鹅为主。水生鱼类以青、草、鲤、鲫四大家鱼为主，未发现珍稀野生动、植物，无自然保护区和名胜古迹。</w:t>
            </w:r>
          </w:p>
          <w:p>
            <w:pPr>
              <w:spacing w:line="360" w:lineRule="auto"/>
              <w:ind w:firstLine="480" w:firstLineChars="200"/>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286" w:type="dxa"/>
          </w:tcPr>
          <w:p>
            <w:pPr>
              <w:rPr>
                <w:rFonts w:ascii="Times New Roman" w:hAnsi="Times New Roman" w:cs="Times New Roman"/>
                <w:b/>
                <w:sz w:val="28"/>
                <w:szCs w:val="28"/>
              </w:rPr>
            </w:pPr>
            <w:r>
              <w:rPr>
                <w:rFonts w:hint="eastAsia" w:ascii="Times New Roman" w:hAnsi="Times New Roman" w:cs="Times New Roman"/>
                <w:b/>
                <w:sz w:val="28"/>
                <w:szCs w:val="28"/>
              </w:rPr>
              <w:t>3.</w:t>
            </w:r>
            <w:r>
              <w:rPr>
                <w:rFonts w:ascii="Times New Roman" w:hAnsi="Times New Roman" w:cs="Times New Roman"/>
                <w:b/>
                <w:sz w:val="28"/>
                <w:szCs w:val="28"/>
              </w:rPr>
              <w:t>2主要环境保护目标（列出名单及保护级别）：</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根据现场勘查，</w:t>
            </w:r>
            <w:r>
              <w:rPr>
                <w:rFonts w:ascii="Times New Roman" w:hAnsi="Times New Roman" w:cs="Times New Roman"/>
                <w:sz w:val="24"/>
              </w:rPr>
              <w:t>结合项目排污特点、区域环境情况以及</w:t>
            </w:r>
            <w:r>
              <w:rPr>
                <w:rFonts w:hint="eastAsia" w:ascii="Times New Roman" w:hAnsi="Times New Roman" w:cs="Times New Roman"/>
                <w:sz w:val="24"/>
              </w:rPr>
              <w:t>邵阳市</w:t>
            </w:r>
            <w:r>
              <w:rPr>
                <w:rFonts w:ascii="Times New Roman" w:hAnsi="Times New Roman" w:cs="Times New Roman"/>
                <w:sz w:val="24"/>
              </w:rPr>
              <w:t>环境保护规划和功能区划分要求，确定项目的主要环境保护目标</w:t>
            </w:r>
            <w:r>
              <w:rPr>
                <w:rFonts w:hint="eastAsia" w:ascii="Times New Roman" w:hAnsi="Times New Roman" w:cs="Times New Roman"/>
                <w:sz w:val="24"/>
              </w:rPr>
              <w:t>如</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_Ref492655986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表3-</w:t>
            </w:r>
            <w:r>
              <w:rPr>
                <w:rFonts w:ascii="Times New Roman" w:hAnsi="Times New Roman" w:cs="Times New Roman"/>
                <w:sz w:val="24"/>
              </w:rPr>
              <w:t>3</w:t>
            </w:r>
            <w:r>
              <w:rPr>
                <w:rFonts w:ascii="Times New Roman" w:hAnsi="Times New Roman" w:cs="Times New Roman"/>
                <w:sz w:val="24"/>
              </w:rPr>
              <w:fldChar w:fldCharType="end"/>
            </w:r>
            <w:r>
              <w:rPr>
                <w:rFonts w:hint="eastAsia" w:ascii="Times New Roman" w:hAnsi="Times New Roman" w:cs="Times New Roman"/>
                <w:sz w:val="24"/>
              </w:rPr>
              <w:t>（见下页）所示。</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pStyle w:val="38"/>
              <w:spacing w:before="156"/>
              <w:rPr>
                <w:color w:val="auto"/>
              </w:rPr>
            </w:pPr>
          </w:p>
        </w:tc>
      </w:tr>
    </w:tbl>
    <w:p>
      <w:pPr>
        <w:widowControl/>
        <w:jc w:val="left"/>
        <w:rPr>
          <w:rFonts w:ascii="Times New Roman" w:hAnsi="Times New Roman" w:cs="Times New Roman"/>
        </w:rPr>
      </w:pPr>
    </w:p>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tbl>
      <w:tblPr>
        <w:tblStyle w:val="2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4" w:type="dxa"/>
            <w:tcBorders>
              <w:top w:val="single" w:color="auto" w:sz="12" w:space="0"/>
              <w:left w:val="single" w:color="auto" w:sz="12" w:space="0"/>
              <w:bottom w:val="single" w:color="auto" w:sz="12" w:space="0"/>
              <w:right w:val="single" w:color="auto" w:sz="12" w:space="0"/>
            </w:tcBorders>
          </w:tcPr>
          <w:p>
            <w:pPr>
              <w:pStyle w:val="38"/>
              <w:spacing w:before="156"/>
              <w:rPr>
                <w:color w:val="auto"/>
              </w:rPr>
            </w:pPr>
            <w:bookmarkStart w:id="37" w:name="_Ref492655986"/>
            <w:r>
              <w:rPr>
                <w:rFonts w:hint="eastAsia"/>
                <w:color w:val="auto"/>
              </w:rPr>
              <w:t>表3-</w:t>
            </w:r>
            <w:r>
              <w:rPr>
                <w:color w:val="auto"/>
              </w:rPr>
              <w:fldChar w:fldCharType="begin"/>
            </w:r>
            <w:r>
              <w:rPr>
                <w:color w:val="auto"/>
              </w:rPr>
              <w:instrText xml:space="preserve"> </w:instrText>
            </w:r>
            <w:r>
              <w:rPr>
                <w:rFonts w:hint="eastAsia"/>
                <w:color w:val="auto"/>
              </w:rPr>
              <w:instrText xml:space="preserve">SEQ 表3- \* ARABIC</w:instrText>
            </w:r>
            <w:r>
              <w:rPr>
                <w:color w:val="auto"/>
              </w:rPr>
              <w:instrText xml:space="preserve"> </w:instrText>
            </w:r>
            <w:r>
              <w:rPr>
                <w:color w:val="auto"/>
              </w:rPr>
              <w:fldChar w:fldCharType="separate"/>
            </w:r>
            <w:r>
              <w:rPr>
                <w:color w:val="auto"/>
              </w:rPr>
              <w:t>3</w:t>
            </w:r>
            <w:r>
              <w:rPr>
                <w:color w:val="auto"/>
              </w:rPr>
              <w:fldChar w:fldCharType="end"/>
            </w:r>
            <w:bookmarkEnd w:id="37"/>
            <w:r>
              <w:rPr>
                <w:color w:val="auto"/>
              </w:rPr>
              <w:t xml:space="preserve">  </w:t>
            </w:r>
            <w:r>
              <w:rPr>
                <w:rFonts w:hint="eastAsia"/>
                <w:color w:val="auto"/>
              </w:rPr>
              <w:t xml:space="preserve"> </w:t>
            </w:r>
            <w:r>
              <w:rPr>
                <w:color w:val="auto"/>
              </w:rPr>
              <w:t>环境保护目标一览表</w:t>
            </w:r>
          </w:p>
          <w:tbl>
            <w:tblPr>
              <w:tblStyle w:val="25"/>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42"/>
              <w:gridCol w:w="1819"/>
              <w:gridCol w:w="1054"/>
              <w:gridCol w:w="1056"/>
              <w:gridCol w:w="1506"/>
              <w:gridCol w:w="1857"/>
              <w:gridCol w:w="1541"/>
              <w:gridCol w:w="1545"/>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941" w:type="dxa"/>
                  <w:vMerge w:val="restart"/>
                  <w:vAlign w:val="center"/>
                </w:tcPr>
                <w:p>
                  <w:pPr>
                    <w:pStyle w:val="54"/>
                    <w:rPr>
                      <w:b/>
                    </w:rPr>
                  </w:pPr>
                  <w:r>
                    <w:rPr>
                      <w:b/>
                    </w:rPr>
                    <w:t>类别</w:t>
                  </w:r>
                </w:p>
              </w:tc>
              <w:tc>
                <w:tcPr>
                  <w:tcW w:w="2561" w:type="dxa"/>
                  <w:gridSpan w:val="2"/>
                  <w:vMerge w:val="restart"/>
                  <w:vAlign w:val="center"/>
                </w:tcPr>
                <w:p>
                  <w:pPr>
                    <w:pStyle w:val="54"/>
                    <w:rPr>
                      <w:b/>
                    </w:rPr>
                  </w:pPr>
                  <w:r>
                    <w:rPr>
                      <w:b/>
                    </w:rPr>
                    <w:t>名称</w:t>
                  </w:r>
                  <w:r>
                    <w:rPr>
                      <w:rFonts w:hint="eastAsia"/>
                      <w:b/>
                    </w:rPr>
                    <w:t>和编号</w:t>
                  </w:r>
                </w:p>
              </w:tc>
              <w:tc>
                <w:tcPr>
                  <w:tcW w:w="2110" w:type="dxa"/>
                  <w:gridSpan w:val="2"/>
                  <w:vAlign w:val="center"/>
                </w:tcPr>
                <w:p>
                  <w:pPr>
                    <w:pStyle w:val="54"/>
                    <w:rPr>
                      <w:b/>
                    </w:rPr>
                  </w:pPr>
                  <w:r>
                    <w:rPr>
                      <w:rFonts w:hint="eastAsia"/>
                      <w:b/>
                    </w:rPr>
                    <w:t>坐标/m</w:t>
                  </w:r>
                </w:p>
              </w:tc>
              <w:tc>
                <w:tcPr>
                  <w:tcW w:w="1506" w:type="dxa"/>
                  <w:vMerge w:val="restart"/>
                  <w:vAlign w:val="center"/>
                </w:tcPr>
                <w:p>
                  <w:pPr>
                    <w:pStyle w:val="54"/>
                    <w:rPr>
                      <w:b/>
                    </w:rPr>
                  </w:pPr>
                  <w:r>
                    <w:rPr>
                      <w:rFonts w:hint="eastAsia"/>
                      <w:b/>
                    </w:rPr>
                    <w:t>保护对象</w:t>
                  </w:r>
                </w:p>
              </w:tc>
              <w:tc>
                <w:tcPr>
                  <w:tcW w:w="1857" w:type="dxa"/>
                  <w:vMerge w:val="restart"/>
                  <w:vAlign w:val="center"/>
                </w:tcPr>
                <w:p>
                  <w:pPr>
                    <w:pStyle w:val="54"/>
                    <w:rPr>
                      <w:b/>
                    </w:rPr>
                  </w:pPr>
                  <w:r>
                    <w:rPr>
                      <w:rFonts w:hint="eastAsia"/>
                      <w:b/>
                    </w:rPr>
                    <w:t>保护内容</w:t>
                  </w:r>
                </w:p>
              </w:tc>
              <w:tc>
                <w:tcPr>
                  <w:tcW w:w="1541" w:type="dxa"/>
                  <w:vMerge w:val="restart"/>
                  <w:vAlign w:val="center"/>
                </w:tcPr>
                <w:p>
                  <w:pPr>
                    <w:pStyle w:val="54"/>
                    <w:rPr>
                      <w:b/>
                    </w:rPr>
                  </w:pPr>
                  <w:r>
                    <w:rPr>
                      <w:rFonts w:hint="eastAsia"/>
                      <w:b/>
                    </w:rPr>
                    <w:t>环境功能区</w:t>
                  </w:r>
                </w:p>
              </w:tc>
              <w:tc>
                <w:tcPr>
                  <w:tcW w:w="1545" w:type="dxa"/>
                  <w:vMerge w:val="restart"/>
                  <w:vAlign w:val="center"/>
                </w:tcPr>
                <w:p>
                  <w:pPr>
                    <w:pStyle w:val="54"/>
                    <w:rPr>
                      <w:b/>
                    </w:rPr>
                  </w:pPr>
                  <w:r>
                    <w:rPr>
                      <w:rFonts w:hint="eastAsia"/>
                      <w:b/>
                    </w:rPr>
                    <w:t>相对厂址方位</w:t>
                  </w:r>
                </w:p>
              </w:tc>
              <w:tc>
                <w:tcPr>
                  <w:tcW w:w="1887" w:type="dxa"/>
                  <w:vMerge w:val="restart"/>
                  <w:vAlign w:val="center"/>
                </w:tcPr>
                <w:p>
                  <w:pPr>
                    <w:pStyle w:val="54"/>
                    <w:rPr>
                      <w:b/>
                    </w:rPr>
                  </w:pPr>
                  <w:r>
                    <w:rPr>
                      <w:rFonts w:hint="eastAsia"/>
                      <w:b/>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trPr>
              <w:tc>
                <w:tcPr>
                  <w:tcW w:w="941" w:type="dxa"/>
                  <w:vMerge w:val="continue"/>
                  <w:vAlign w:val="center"/>
                </w:tcPr>
                <w:p>
                  <w:pPr>
                    <w:pStyle w:val="54"/>
                    <w:rPr>
                      <w:b/>
                    </w:rPr>
                  </w:pPr>
                </w:p>
              </w:tc>
              <w:tc>
                <w:tcPr>
                  <w:tcW w:w="2561" w:type="dxa"/>
                  <w:gridSpan w:val="2"/>
                  <w:vMerge w:val="continue"/>
                  <w:vAlign w:val="center"/>
                </w:tcPr>
                <w:p>
                  <w:pPr>
                    <w:pStyle w:val="54"/>
                    <w:rPr>
                      <w:b/>
                    </w:rPr>
                  </w:pPr>
                </w:p>
              </w:tc>
              <w:tc>
                <w:tcPr>
                  <w:tcW w:w="1054" w:type="dxa"/>
                  <w:vAlign w:val="center"/>
                </w:tcPr>
                <w:p>
                  <w:pPr>
                    <w:pStyle w:val="54"/>
                    <w:rPr>
                      <w:b/>
                    </w:rPr>
                  </w:pPr>
                  <w:r>
                    <w:rPr>
                      <w:rFonts w:hint="eastAsia"/>
                      <w:b/>
                    </w:rPr>
                    <w:t>X</w:t>
                  </w:r>
                </w:p>
              </w:tc>
              <w:tc>
                <w:tcPr>
                  <w:tcW w:w="1056" w:type="dxa"/>
                  <w:vAlign w:val="center"/>
                </w:tcPr>
                <w:p>
                  <w:pPr>
                    <w:pStyle w:val="54"/>
                    <w:rPr>
                      <w:b/>
                    </w:rPr>
                  </w:pPr>
                  <w:r>
                    <w:rPr>
                      <w:rFonts w:hint="eastAsia"/>
                      <w:b/>
                    </w:rPr>
                    <w:t>Y</w:t>
                  </w:r>
                </w:p>
              </w:tc>
              <w:tc>
                <w:tcPr>
                  <w:tcW w:w="1506" w:type="dxa"/>
                  <w:vMerge w:val="continue"/>
                  <w:vAlign w:val="center"/>
                </w:tcPr>
                <w:p>
                  <w:pPr>
                    <w:pStyle w:val="54"/>
                    <w:rPr>
                      <w:b/>
                    </w:rPr>
                  </w:pPr>
                </w:p>
              </w:tc>
              <w:tc>
                <w:tcPr>
                  <w:tcW w:w="1857" w:type="dxa"/>
                  <w:vMerge w:val="continue"/>
                  <w:vAlign w:val="center"/>
                </w:tcPr>
                <w:p>
                  <w:pPr>
                    <w:pStyle w:val="54"/>
                    <w:rPr>
                      <w:b/>
                    </w:rPr>
                  </w:pPr>
                </w:p>
              </w:tc>
              <w:tc>
                <w:tcPr>
                  <w:tcW w:w="1541" w:type="dxa"/>
                  <w:vMerge w:val="continue"/>
                  <w:vAlign w:val="center"/>
                </w:tcPr>
                <w:p>
                  <w:pPr>
                    <w:pStyle w:val="54"/>
                    <w:rPr>
                      <w:b/>
                    </w:rPr>
                  </w:pPr>
                </w:p>
              </w:tc>
              <w:tc>
                <w:tcPr>
                  <w:tcW w:w="1545" w:type="dxa"/>
                  <w:vMerge w:val="continue"/>
                  <w:vAlign w:val="center"/>
                </w:tcPr>
                <w:p>
                  <w:pPr>
                    <w:pStyle w:val="54"/>
                    <w:rPr>
                      <w:b/>
                    </w:rPr>
                  </w:pPr>
                </w:p>
              </w:tc>
              <w:tc>
                <w:tcPr>
                  <w:tcW w:w="1887" w:type="dxa"/>
                  <w:vMerge w:val="continue"/>
                  <w:vAlign w:val="center"/>
                </w:tcPr>
                <w:p>
                  <w:pPr>
                    <w:pStyle w:val="5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restart"/>
                  <w:vAlign w:val="center"/>
                </w:tcPr>
                <w:p>
                  <w:pPr>
                    <w:pStyle w:val="54"/>
                  </w:pPr>
                  <w:r>
                    <w:rPr>
                      <w:rFonts w:hint="eastAsia"/>
                    </w:rPr>
                    <w:t>大气</w:t>
                  </w:r>
                </w:p>
                <w:p>
                  <w:pPr>
                    <w:pStyle w:val="54"/>
                  </w:pPr>
                  <w:r>
                    <w:t>环境</w:t>
                  </w:r>
                </w:p>
              </w:tc>
              <w:tc>
                <w:tcPr>
                  <w:tcW w:w="742" w:type="dxa"/>
                  <w:vAlign w:val="center"/>
                </w:tcPr>
                <w:p>
                  <w:pPr>
                    <w:pStyle w:val="54"/>
                  </w:pPr>
                  <w:r>
                    <w:rPr>
                      <w:rFonts w:hint="eastAsia"/>
                    </w:rPr>
                    <w:t>B-01</w:t>
                  </w:r>
                </w:p>
              </w:tc>
              <w:tc>
                <w:tcPr>
                  <w:tcW w:w="1819" w:type="dxa"/>
                  <w:vAlign w:val="center"/>
                </w:tcPr>
                <w:p>
                  <w:pPr>
                    <w:pStyle w:val="54"/>
                  </w:pPr>
                  <w:r>
                    <w:rPr>
                      <w:rFonts w:hint="eastAsia"/>
                    </w:rPr>
                    <w:t>糜家坪村居民点</w:t>
                  </w:r>
                </w:p>
              </w:tc>
              <w:tc>
                <w:tcPr>
                  <w:tcW w:w="1054" w:type="dxa"/>
                  <w:vAlign w:val="center"/>
                </w:tcPr>
                <w:p>
                  <w:pPr>
                    <w:pStyle w:val="54"/>
                  </w:pPr>
                  <w:r>
                    <w:rPr>
                      <w:rFonts w:hint="eastAsia"/>
                    </w:rPr>
                    <w:t>592077</w:t>
                  </w:r>
                </w:p>
              </w:tc>
              <w:tc>
                <w:tcPr>
                  <w:tcW w:w="1056" w:type="dxa"/>
                  <w:vAlign w:val="center"/>
                </w:tcPr>
                <w:p>
                  <w:pPr>
                    <w:pStyle w:val="54"/>
                  </w:pPr>
                  <w:r>
                    <w:rPr>
                      <w:rFonts w:hint="eastAsia"/>
                    </w:rPr>
                    <w:t>3005872</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居民，约1000人</w:t>
                  </w:r>
                </w:p>
              </w:tc>
              <w:tc>
                <w:tcPr>
                  <w:tcW w:w="1541" w:type="dxa"/>
                  <w:vAlign w:val="center"/>
                </w:tcPr>
                <w:p>
                  <w:pPr>
                    <w:pStyle w:val="54"/>
                  </w:pPr>
                  <w:r>
                    <w:rPr>
                      <w:rFonts w:hint="eastAsia"/>
                    </w:rPr>
                    <w:t>二类</w:t>
                  </w:r>
                </w:p>
              </w:tc>
              <w:tc>
                <w:tcPr>
                  <w:tcW w:w="1545" w:type="dxa"/>
                  <w:vAlign w:val="center"/>
                </w:tcPr>
                <w:p>
                  <w:pPr>
                    <w:pStyle w:val="54"/>
                  </w:pPr>
                  <w:r>
                    <w:rPr>
                      <w:rFonts w:hint="eastAsia"/>
                    </w:rPr>
                    <w:t>东</w:t>
                  </w:r>
                </w:p>
              </w:tc>
              <w:tc>
                <w:tcPr>
                  <w:tcW w:w="1887" w:type="dxa"/>
                  <w:vAlign w:val="center"/>
                </w:tcPr>
                <w:p>
                  <w:pPr>
                    <w:pStyle w:val="54"/>
                  </w:pPr>
                  <w:r>
                    <w:rPr>
                      <w:rFonts w:hint="eastAsia"/>
                    </w:rPr>
                    <w:t>1369～2642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B-02</w:t>
                  </w:r>
                </w:p>
              </w:tc>
              <w:tc>
                <w:tcPr>
                  <w:tcW w:w="1819" w:type="dxa"/>
                  <w:vAlign w:val="center"/>
                </w:tcPr>
                <w:p>
                  <w:pPr>
                    <w:pStyle w:val="54"/>
                  </w:pPr>
                  <w:r>
                    <w:rPr>
                      <w:rFonts w:hint="eastAsia"/>
                    </w:rPr>
                    <w:t>光塘村居民点</w:t>
                  </w:r>
                </w:p>
              </w:tc>
              <w:tc>
                <w:tcPr>
                  <w:tcW w:w="1054" w:type="dxa"/>
                  <w:vAlign w:val="center"/>
                </w:tcPr>
                <w:p>
                  <w:pPr>
                    <w:pStyle w:val="54"/>
                  </w:pPr>
                  <w:r>
                    <w:rPr>
                      <w:rFonts w:hint="eastAsia"/>
                    </w:rPr>
                    <w:t>591863</w:t>
                  </w:r>
                </w:p>
              </w:tc>
              <w:tc>
                <w:tcPr>
                  <w:tcW w:w="1056" w:type="dxa"/>
                  <w:vAlign w:val="center"/>
                </w:tcPr>
                <w:p>
                  <w:pPr>
                    <w:pStyle w:val="54"/>
                  </w:pPr>
                  <w:r>
                    <w:rPr>
                      <w:rFonts w:hint="eastAsia"/>
                    </w:rPr>
                    <w:t>3005095</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居民，约1000人</w:t>
                  </w:r>
                </w:p>
              </w:tc>
              <w:tc>
                <w:tcPr>
                  <w:tcW w:w="1541" w:type="dxa"/>
                  <w:vAlign w:val="center"/>
                </w:tcPr>
                <w:p>
                  <w:pPr>
                    <w:pStyle w:val="54"/>
                  </w:pPr>
                  <w:r>
                    <w:rPr>
                      <w:rFonts w:hint="eastAsia"/>
                    </w:rPr>
                    <w:t>二类</w:t>
                  </w:r>
                </w:p>
              </w:tc>
              <w:tc>
                <w:tcPr>
                  <w:tcW w:w="1545" w:type="dxa"/>
                  <w:vAlign w:val="center"/>
                </w:tcPr>
                <w:p>
                  <w:pPr>
                    <w:pStyle w:val="54"/>
                  </w:pPr>
                  <w:r>
                    <w:rPr>
                      <w:rFonts w:hint="eastAsia"/>
                    </w:rPr>
                    <w:t>东南</w:t>
                  </w:r>
                </w:p>
              </w:tc>
              <w:tc>
                <w:tcPr>
                  <w:tcW w:w="1887" w:type="dxa"/>
                  <w:vAlign w:val="center"/>
                </w:tcPr>
                <w:p>
                  <w:pPr>
                    <w:pStyle w:val="54"/>
                  </w:pPr>
                  <w:r>
                    <w:rPr>
                      <w:rFonts w:hint="eastAsia"/>
                    </w:rPr>
                    <w:t>1180～3263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B-03</w:t>
                  </w:r>
                </w:p>
              </w:tc>
              <w:tc>
                <w:tcPr>
                  <w:tcW w:w="1819" w:type="dxa"/>
                  <w:vAlign w:val="center"/>
                </w:tcPr>
                <w:p>
                  <w:pPr>
                    <w:pStyle w:val="54"/>
                  </w:pPr>
                  <w:r>
                    <w:rPr>
                      <w:rFonts w:hint="eastAsia"/>
                    </w:rPr>
                    <w:t>龙新村居民点</w:t>
                  </w:r>
                </w:p>
              </w:tc>
              <w:tc>
                <w:tcPr>
                  <w:tcW w:w="1054" w:type="dxa"/>
                  <w:vAlign w:val="center"/>
                </w:tcPr>
                <w:p>
                  <w:pPr>
                    <w:pStyle w:val="54"/>
                  </w:pPr>
                  <w:r>
                    <w:rPr>
                      <w:rFonts w:hint="eastAsia"/>
                    </w:rPr>
                    <w:t>590636</w:t>
                  </w:r>
                </w:p>
              </w:tc>
              <w:tc>
                <w:tcPr>
                  <w:tcW w:w="1056" w:type="dxa"/>
                  <w:vAlign w:val="center"/>
                </w:tcPr>
                <w:p>
                  <w:pPr>
                    <w:pStyle w:val="54"/>
                  </w:pPr>
                  <w:r>
                    <w:rPr>
                      <w:rFonts w:hint="eastAsia"/>
                    </w:rPr>
                    <w:t>3005342</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居民，约1500人</w:t>
                  </w:r>
                </w:p>
              </w:tc>
              <w:tc>
                <w:tcPr>
                  <w:tcW w:w="1541" w:type="dxa"/>
                  <w:vAlign w:val="center"/>
                </w:tcPr>
                <w:p>
                  <w:pPr>
                    <w:pStyle w:val="54"/>
                  </w:pPr>
                  <w:r>
                    <w:rPr>
                      <w:rFonts w:hint="eastAsia"/>
                    </w:rPr>
                    <w:t>二类</w:t>
                  </w:r>
                </w:p>
              </w:tc>
              <w:tc>
                <w:tcPr>
                  <w:tcW w:w="1545" w:type="dxa"/>
                  <w:vAlign w:val="center"/>
                </w:tcPr>
                <w:p>
                  <w:pPr>
                    <w:pStyle w:val="54"/>
                  </w:pPr>
                  <w:r>
                    <w:rPr>
                      <w:rFonts w:hint="eastAsia"/>
                    </w:rPr>
                    <w:t>南、西南、西</w:t>
                  </w:r>
                </w:p>
              </w:tc>
              <w:tc>
                <w:tcPr>
                  <w:tcW w:w="1887" w:type="dxa"/>
                  <w:vAlign w:val="center"/>
                </w:tcPr>
                <w:p>
                  <w:pPr>
                    <w:pStyle w:val="54"/>
                  </w:pPr>
                  <w:r>
                    <w:rPr>
                      <w:rFonts w:hint="eastAsia"/>
                    </w:rPr>
                    <w:t>140～2500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B-04</w:t>
                  </w:r>
                </w:p>
              </w:tc>
              <w:tc>
                <w:tcPr>
                  <w:tcW w:w="1819" w:type="dxa"/>
                  <w:vAlign w:val="center"/>
                </w:tcPr>
                <w:p>
                  <w:pPr>
                    <w:pStyle w:val="54"/>
                  </w:pPr>
                  <w:r>
                    <w:rPr>
                      <w:rFonts w:hint="eastAsia"/>
                    </w:rPr>
                    <w:t>欣佳村居民点</w:t>
                  </w:r>
                </w:p>
              </w:tc>
              <w:tc>
                <w:tcPr>
                  <w:tcW w:w="1054" w:type="dxa"/>
                  <w:vAlign w:val="center"/>
                </w:tcPr>
                <w:p>
                  <w:pPr>
                    <w:pStyle w:val="54"/>
                  </w:pPr>
                  <w:r>
                    <w:rPr>
                      <w:rFonts w:hint="eastAsia"/>
                    </w:rPr>
                    <w:t>589613</w:t>
                  </w:r>
                </w:p>
              </w:tc>
              <w:tc>
                <w:tcPr>
                  <w:tcW w:w="1056" w:type="dxa"/>
                  <w:vAlign w:val="center"/>
                </w:tcPr>
                <w:p>
                  <w:pPr>
                    <w:pStyle w:val="54"/>
                  </w:pPr>
                  <w:r>
                    <w:rPr>
                      <w:rFonts w:hint="eastAsia"/>
                    </w:rPr>
                    <w:t>3003834</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居民，约500人</w:t>
                  </w:r>
                </w:p>
              </w:tc>
              <w:tc>
                <w:tcPr>
                  <w:tcW w:w="1541" w:type="dxa"/>
                  <w:vAlign w:val="center"/>
                </w:tcPr>
                <w:p>
                  <w:pPr>
                    <w:pStyle w:val="54"/>
                  </w:pPr>
                  <w:r>
                    <w:rPr>
                      <w:rFonts w:hint="eastAsia"/>
                    </w:rPr>
                    <w:t>二类</w:t>
                  </w:r>
                </w:p>
              </w:tc>
              <w:tc>
                <w:tcPr>
                  <w:tcW w:w="1545" w:type="dxa"/>
                  <w:vAlign w:val="center"/>
                </w:tcPr>
                <w:p>
                  <w:pPr>
                    <w:pStyle w:val="54"/>
                  </w:pPr>
                  <w:r>
                    <w:rPr>
                      <w:rFonts w:hint="eastAsia"/>
                    </w:rPr>
                    <w:t>西南</w:t>
                  </w:r>
                </w:p>
              </w:tc>
              <w:tc>
                <w:tcPr>
                  <w:tcW w:w="1887" w:type="dxa"/>
                  <w:vAlign w:val="center"/>
                </w:tcPr>
                <w:p>
                  <w:pPr>
                    <w:pStyle w:val="54"/>
                  </w:pPr>
                  <w:r>
                    <w:rPr>
                      <w:rFonts w:hint="eastAsia"/>
                    </w:rPr>
                    <w:t>1930～3360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B-05</w:t>
                  </w:r>
                </w:p>
              </w:tc>
              <w:tc>
                <w:tcPr>
                  <w:tcW w:w="1819" w:type="dxa"/>
                  <w:vAlign w:val="center"/>
                </w:tcPr>
                <w:p>
                  <w:pPr>
                    <w:pStyle w:val="54"/>
                  </w:pPr>
                  <w:r>
                    <w:rPr>
                      <w:rFonts w:hint="eastAsia"/>
                    </w:rPr>
                    <w:t>冲头屋居民点</w:t>
                  </w:r>
                </w:p>
              </w:tc>
              <w:tc>
                <w:tcPr>
                  <w:tcW w:w="1054" w:type="dxa"/>
                  <w:vAlign w:val="center"/>
                </w:tcPr>
                <w:p>
                  <w:pPr>
                    <w:pStyle w:val="54"/>
                  </w:pPr>
                  <w:r>
                    <w:rPr>
                      <w:rFonts w:hint="eastAsia"/>
                    </w:rPr>
                    <w:t>590364</w:t>
                  </w:r>
                </w:p>
              </w:tc>
              <w:tc>
                <w:tcPr>
                  <w:tcW w:w="1056" w:type="dxa"/>
                  <w:vAlign w:val="center"/>
                </w:tcPr>
                <w:p>
                  <w:pPr>
                    <w:pStyle w:val="54"/>
                  </w:pPr>
                  <w:r>
                    <w:rPr>
                      <w:rFonts w:hint="eastAsia"/>
                    </w:rPr>
                    <w:t>3005550</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居民，5户，约20人</w:t>
                  </w:r>
                </w:p>
              </w:tc>
              <w:tc>
                <w:tcPr>
                  <w:tcW w:w="1541" w:type="dxa"/>
                  <w:vAlign w:val="center"/>
                </w:tcPr>
                <w:p>
                  <w:pPr>
                    <w:pStyle w:val="54"/>
                  </w:pPr>
                  <w:r>
                    <w:rPr>
                      <w:rFonts w:hint="eastAsia"/>
                    </w:rPr>
                    <w:t>二类</w:t>
                  </w:r>
                </w:p>
              </w:tc>
              <w:tc>
                <w:tcPr>
                  <w:tcW w:w="1545" w:type="dxa"/>
                  <w:vAlign w:val="center"/>
                </w:tcPr>
                <w:p>
                  <w:pPr>
                    <w:pStyle w:val="54"/>
                  </w:pPr>
                  <w:r>
                    <w:rPr>
                      <w:rFonts w:hint="eastAsia"/>
                    </w:rPr>
                    <w:t>西</w:t>
                  </w:r>
                </w:p>
              </w:tc>
              <w:tc>
                <w:tcPr>
                  <w:tcW w:w="1887" w:type="dxa"/>
                  <w:vAlign w:val="center"/>
                </w:tcPr>
                <w:p>
                  <w:pPr>
                    <w:pStyle w:val="54"/>
                  </w:pPr>
                  <w:r>
                    <w:rPr>
                      <w:rFonts w:hint="eastAsia"/>
                    </w:rPr>
                    <w:t>235～265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B-06</w:t>
                  </w:r>
                </w:p>
              </w:tc>
              <w:tc>
                <w:tcPr>
                  <w:tcW w:w="1819" w:type="dxa"/>
                  <w:vAlign w:val="center"/>
                </w:tcPr>
                <w:p>
                  <w:pPr>
                    <w:pStyle w:val="54"/>
                  </w:pPr>
                  <w:r>
                    <w:rPr>
                      <w:rFonts w:hint="eastAsia"/>
                    </w:rPr>
                    <w:t>火厂社区（火厂坪镇中心区）</w:t>
                  </w:r>
                </w:p>
              </w:tc>
              <w:tc>
                <w:tcPr>
                  <w:tcW w:w="1054" w:type="dxa"/>
                  <w:vAlign w:val="center"/>
                </w:tcPr>
                <w:p>
                  <w:pPr>
                    <w:pStyle w:val="54"/>
                  </w:pPr>
                  <w:r>
                    <w:rPr>
                      <w:rFonts w:hint="eastAsia"/>
                    </w:rPr>
                    <w:t>589413</w:t>
                  </w:r>
                </w:p>
              </w:tc>
              <w:tc>
                <w:tcPr>
                  <w:tcW w:w="1056" w:type="dxa"/>
                  <w:vAlign w:val="center"/>
                </w:tcPr>
                <w:p>
                  <w:pPr>
                    <w:pStyle w:val="54"/>
                  </w:pPr>
                  <w:r>
                    <w:rPr>
                      <w:rFonts w:hint="eastAsia"/>
                    </w:rPr>
                    <w:t>3005830</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居民，约10000人</w:t>
                  </w:r>
                </w:p>
              </w:tc>
              <w:tc>
                <w:tcPr>
                  <w:tcW w:w="1541" w:type="dxa"/>
                  <w:vAlign w:val="center"/>
                </w:tcPr>
                <w:p>
                  <w:pPr>
                    <w:pStyle w:val="54"/>
                  </w:pPr>
                  <w:r>
                    <w:rPr>
                      <w:rFonts w:hint="eastAsia"/>
                    </w:rPr>
                    <w:t>二类</w:t>
                  </w:r>
                </w:p>
              </w:tc>
              <w:tc>
                <w:tcPr>
                  <w:tcW w:w="1545" w:type="dxa"/>
                  <w:vAlign w:val="center"/>
                </w:tcPr>
                <w:p>
                  <w:pPr>
                    <w:pStyle w:val="54"/>
                  </w:pPr>
                  <w:r>
                    <w:rPr>
                      <w:rFonts w:hint="eastAsia"/>
                    </w:rPr>
                    <w:t>西北</w:t>
                  </w:r>
                </w:p>
              </w:tc>
              <w:tc>
                <w:tcPr>
                  <w:tcW w:w="1887" w:type="dxa"/>
                  <w:vAlign w:val="center"/>
                </w:tcPr>
                <w:p>
                  <w:pPr>
                    <w:pStyle w:val="54"/>
                  </w:pPr>
                  <w:r>
                    <w:rPr>
                      <w:rFonts w:hint="eastAsia"/>
                    </w:rPr>
                    <w:t>1212～3400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B-07</w:t>
                  </w:r>
                </w:p>
              </w:tc>
              <w:tc>
                <w:tcPr>
                  <w:tcW w:w="1819" w:type="dxa"/>
                  <w:vAlign w:val="center"/>
                </w:tcPr>
                <w:p>
                  <w:pPr>
                    <w:pStyle w:val="54"/>
                  </w:pPr>
                  <w:r>
                    <w:rPr>
                      <w:rFonts w:hint="eastAsia"/>
                    </w:rPr>
                    <w:t>邵东县第三中学</w:t>
                  </w:r>
                </w:p>
              </w:tc>
              <w:tc>
                <w:tcPr>
                  <w:tcW w:w="1054" w:type="dxa"/>
                  <w:vAlign w:val="center"/>
                </w:tcPr>
                <w:p>
                  <w:pPr>
                    <w:pStyle w:val="54"/>
                  </w:pPr>
                  <w:r>
                    <w:rPr>
                      <w:rFonts w:hint="eastAsia"/>
                    </w:rPr>
                    <w:t>588374</w:t>
                  </w:r>
                </w:p>
              </w:tc>
              <w:tc>
                <w:tcPr>
                  <w:tcW w:w="1056" w:type="dxa"/>
                  <w:vAlign w:val="center"/>
                </w:tcPr>
                <w:p>
                  <w:pPr>
                    <w:pStyle w:val="54"/>
                  </w:pPr>
                  <w:r>
                    <w:rPr>
                      <w:rFonts w:hint="eastAsia"/>
                    </w:rPr>
                    <w:t>3007144</w:t>
                  </w:r>
                </w:p>
              </w:tc>
              <w:tc>
                <w:tcPr>
                  <w:tcW w:w="1506" w:type="dxa"/>
                  <w:vAlign w:val="center"/>
                </w:tcPr>
                <w:p>
                  <w:pPr>
                    <w:pStyle w:val="54"/>
                  </w:pPr>
                  <w:r>
                    <w:rPr>
                      <w:rFonts w:hint="eastAsia"/>
                    </w:rPr>
                    <w:t>学校</w:t>
                  </w:r>
                </w:p>
              </w:tc>
              <w:tc>
                <w:tcPr>
                  <w:tcW w:w="1857" w:type="dxa"/>
                  <w:vAlign w:val="center"/>
                </w:tcPr>
                <w:p>
                  <w:pPr>
                    <w:pStyle w:val="54"/>
                  </w:pPr>
                  <w:r>
                    <w:rPr>
                      <w:rFonts w:hint="eastAsia"/>
                    </w:rPr>
                    <w:t>师生，约4250人</w:t>
                  </w:r>
                </w:p>
              </w:tc>
              <w:tc>
                <w:tcPr>
                  <w:tcW w:w="1541" w:type="dxa"/>
                  <w:vAlign w:val="center"/>
                </w:tcPr>
                <w:p>
                  <w:pPr>
                    <w:pStyle w:val="54"/>
                  </w:pPr>
                  <w:r>
                    <w:rPr>
                      <w:rFonts w:hint="eastAsia"/>
                    </w:rPr>
                    <w:t>二类</w:t>
                  </w:r>
                </w:p>
              </w:tc>
              <w:tc>
                <w:tcPr>
                  <w:tcW w:w="1545" w:type="dxa"/>
                  <w:vAlign w:val="center"/>
                </w:tcPr>
                <w:p>
                  <w:pPr>
                    <w:pStyle w:val="54"/>
                  </w:pPr>
                  <w:r>
                    <w:rPr>
                      <w:rFonts w:hint="eastAsia"/>
                    </w:rPr>
                    <w:t>西北</w:t>
                  </w:r>
                </w:p>
              </w:tc>
              <w:tc>
                <w:tcPr>
                  <w:tcW w:w="1887" w:type="dxa"/>
                  <w:vAlign w:val="center"/>
                </w:tcPr>
                <w:p>
                  <w:pPr>
                    <w:pStyle w:val="54"/>
                  </w:pPr>
                  <w:r>
                    <w:rPr>
                      <w:rFonts w:hint="eastAsia"/>
                    </w:rPr>
                    <w:t>2730～3170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B-08</w:t>
                  </w:r>
                </w:p>
              </w:tc>
              <w:tc>
                <w:tcPr>
                  <w:tcW w:w="1819" w:type="dxa"/>
                  <w:vAlign w:val="center"/>
                </w:tcPr>
                <w:p>
                  <w:pPr>
                    <w:pStyle w:val="54"/>
                  </w:pPr>
                  <w:r>
                    <w:rPr>
                      <w:rFonts w:hint="eastAsia"/>
                    </w:rPr>
                    <w:t>龙环村居民点</w:t>
                  </w:r>
                </w:p>
              </w:tc>
              <w:tc>
                <w:tcPr>
                  <w:tcW w:w="1054" w:type="dxa"/>
                  <w:vAlign w:val="center"/>
                </w:tcPr>
                <w:p>
                  <w:pPr>
                    <w:pStyle w:val="54"/>
                  </w:pPr>
                  <w:r>
                    <w:rPr>
                      <w:rFonts w:hint="eastAsia"/>
                    </w:rPr>
                    <w:t>590029</w:t>
                  </w:r>
                </w:p>
              </w:tc>
              <w:tc>
                <w:tcPr>
                  <w:tcW w:w="1056" w:type="dxa"/>
                  <w:vAlign w:val="center"/>
                </w:tcPr>
                <w:p>
                  <w:pPr>
                    <w:pStyle w:val="54"/>
                  </w:pPr>
                  <w:r>
                    <w:rPr>
                      <w:rFonts w:hint="eastAsia"/>
                    </w:rPr>
                    <w:t>3006546</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居民，约1000人</w:t>
                  </w:r>
                </w:p>
              </w:tc>
              <w:tc>
                <w:tcPr>
                  <w:tcW w:w="1541" w:type="dxa"/>
                  <w:vAlign w:val="center"/>
                </w:tcPr>
                <w:p>
                  <w:pPr>
                    <w:pStyle w:val="54"/>
                  </w:pPr>
                  <w:r>
                    <w:rPr>
                      <w:rFonts w:hint="eastAsia"/>
                    </w:rPr>
                    <w:t>二类</w:t>
                  </w:r>
                </w:p>
              </w:tc>
              <w:tc>
                <w:tcPr>
                  <w:tcW w:w="1545" w:type="dxa"/>
                  <w:vAlign w:val="center"/>
                </w:tcPr>
                <w:p>
                  <w:pPr>
                    <w:pStyle w:val="54"/>
                  </w:pPr>
                  <w:r>
                    <w:rPr>
                      <w:rFonts w:hint="eastAsia"/>
                    </w:rPr>
                    <w:t>西北、北</w:t>
                  </w:r>
                </w:p>
              </w:tc>
              <w:tc>
                <w:tcPr>
                  <w:tcW w:w="1887" w:type="dxa"/>
                  <w:vAlign w:val="center"/>
                </w:tcPr>
                <w:p>
                  <w:pPr>
                    <w:pStyle w:val="54"/>
                  </w:pPr>
                  <w:r>
                    <w:rPr>
                      <w:rFonts w:hint="eastAsia"/>
                    </w:rPr>
                    <w:t>1142～2500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B-09</w:t>
                  </w:r>
                </w:p>
              </w:tc>
              <w:tc>
                <w:tcPr>
                  <w:tcW w:w="1819" w:type="dxa"/>
                  <w:vAlign w:val="center"/>
                </w:tcPr>
                <w:p>
                  <w:pPr>
                    <w:pStyle w:val="54"/>
                  </w:pPr>
                  <w:r>
                    <w:rPr>
                      <w:rFonts w:hint="eastAsia"/>
                    </w:rPr>
                    <w:t>堂冲坳居民点</w:t>
                  </w:r>
                </w:p>
              </w:tc>
              <w:tc>
                <w:tcPr>
                  <w:tcW w:w="1054" w:type="dxa"/>
                  <w:vAlign w:val="center"/>
                </w:tcPr>
                <w:p>
                  <w:pPr>
                    <w:pStyle w:val="54"/>
                  </w:pPr>
                  <w:r>
                    <w:rPr>
                      <w:rFonts w:hint="eastAsia"/>
                    </w:rPr>
                    <w:t>590620</w:t>
                  </w:r>
                </w:p>
              </w:tc>
              <w:tc>
                <w:tcPr>
                  <w:tcW w:w="1056" w:type="dxa"/>
                  <w:vAlign w:val="center"/>
                </w:tcPr>
                <w:p>
                  <w:pPr>
                    <w:pStyle w:val="54"/>
                  </w:pPr>
                  <w:r>
                    <w:rPr>
                      <w:rFonts w:hint="eastAsia"/>
                    </w:rPr>
                    <w:t>3005631</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居民，1户，4人</w:t>
                  </w:r>
                </w:p>
              </w:tc>
              <w:tc>
                <w:tcPr>
                  <w:tcW w:w="1541" w:type="dxa"/>
                  <w:vAlign w:val="center"/>
                </w:tcPr>
                <w:p>
                  <w:pPr>
                    <w:pStyle w:val="54"/>
                  </w:pPr>
                  <w:r>
                    <w:rPr>
                      <w:rFonts w:hint="eastAsia"/>
                    </w:rPr>
                    <w:t>二类</w:t>
                  </w:r>
                </w:p>
              </w:tc>
              <w:tc>
                <w:tcPr>
                  <w:tcW w:w="1545" w:type="dxa"/>
                  <w:vAlign w:val="center"/>
                </w:tcPr>
                <w:p>
                  <w:pPr>
                    <w:pStyle w:val="54"/>
                  </w:pPr>
                  <w:r>
                    <w:rPr>
                      <w:rFonts w:hint="eastAsia"/>
                    </w:rPr>
                    <w:t>北</w:t>
                  </w:r>
                </w:p>
              </w:tc>
              <w:tc>
                <w:tcPr>
                  <w:tcW w:w="1887" w:type="dxa"/>
                  <w:vAlign w:val="center"/>
                </w:tcPr>
                <w:p>
                  <w:pPr>
                    <w:pStyle w:val="54"/>
                  </w:pPr>
                  <w:r>
                    <w:rPr>
                      <w:rFonts w:hint="eastAsia"/>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B-10</w:t>
                  </w:r>
                </w:p>
              </w:tc>
              <w:tc>
                <w:tcPr>
                  <w:tcW w:w="1819" w:type="dxa"/>
                  <w:vAlign w:val="center"/>
                </w:tcPr>
                <w:p>
                  <w:pPr>
                    <w:pStyle w:val="54"/>
                  </w:pPr>
                  <w:r>
                    <w:rPr>
                      <w:rFonts w:hint="eastAsia"/>
                    </w:rPr>
                    <w:t>柏山村居民点</w:t>
                  </w:r>
                </w:p>
              </w:tc>
              <w:tc>
                <w:tcPr>
                  <w:tcW w:w="1054" w:type="dxa"/>
                  <w:vAlign w:val="center"/>
                </w:tcPr>
                <w:p>
                  <w:pPr>
                    <w:pStyle w:val="54"/>
                  </w:pPr>
                  <w:r>
                    <w:rPr>
                      <w:rFonts w:hint="eastAsia"/>
                    </w:rPr>
                    <w:t>590560</w:t>
                  </w:r>
                </w:p>
              </w:tc>
              <w:tc>
                <w:tcPr>
                  <w:tcW w:w="1056" w:type="dxa"/>
                  <w:vAlign w:val="center"/>
                </w:tcPr>
                <w:p>
                  <w:pPr>
                    <w:pStyle w:val="54"/>
                  </w:pPr>
                  <w:r>
                    <w:rPr>
                      <w:rFonts w:hint="eastAsia"/>
                    </w:rPr>
                    <w:t>3006131</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居民，约500人</w:t>
                  </w:r>
                </w:p>
              </w:tc>
              <w:tc>
                <w:tcPr>
                  <w:tcW w:w="1541" w:type="dxa"/>
                  <w:vAlign w:val="center"/>
                </w:tcPr>
                <w:p>
                  <w:pPr>
                    <w:pStyle w:val="54"/>
                  </w:pPr>
                  <w:r>
                    <w:rPr>
                      <w:rFonts w:hint="eastAsia"/>
                    </w:rPr>
                    <w:t>二类</w:t>
                  </w:r>
                </w:p>
              </w:tc>
              <w:tc>
                <w:tcPr>
                  <w:tcW w:w="1545" w:type="dxa"/>
                  <w:vAlign w:val="center"/>
                </w:tcPr>
                <w:p>
                  <w:pPr>
                    <w:pStyle w:val="54"/>
                  </w:pPr>
                  <w:r>
                    <w:rPr>
                      <w:rFonts w:hint="eastAsia"/>
                    </w:rPr>
                    <w:t>北、东北</w:t>
                  </w:r>
                </w:p>
              </w:tc>
              <w:tc>
                <w:tcPr>
                  <w:tcW w:w="1887" w:type="dxa"/>
                  <w:vAlign w:val="center"/>
                </w:tcPr>
                <w:p>
                  <w:pPr>
                    <w:pStyle w:val="54"/>
                  </w:pPr>
                  <w:r>
                    <w:rPr>
                      <w:rFonts w:hint="eastAsia"/>
                    </w:rPr>
                    <w:t>575～2100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B-11</w:t>
                  </w:r>
                </w:p>
              </w:tc>
              <w:tc>
                <w:tcPr>
                  <w:tcW w:w="1819" w:type="dxa"/>
                  <w:vAlign w:val="center"/>
                </w:tcPr>
                <w:p>
                  <w:pPr>
                    <w:pStyle w:val="54"/>
                  </w:pPr>
                  <w:r>
                    <w:rPr>
                      <w:rFonts w:hint="eastAsia"/>
                    </w:rPr>
                    <w:t>肠新村居民点</w:t>
                  </w:r>
                </w:p>
              </w:tc>
              <w:tc>
                <w:tcPr>
                  <w:tcW w:w="1054" w:type="dxa"/>
                  <w:vAlign w:val="center"/>
                </w:tcPr>
                <w:p>
                  <w:pPr>
                    <w:pStyle w:val="54"/>
                  </w:pPr>
                  <w:r>
                    <w:rPr>
                      <w:rFonts w:hint="eastAsia"/>
                    </w:rPr>
                    <w:t>592410</w:t>
                  </w:r>
                </w:p>
              </w:tc>
              <w:tc>
                <w:tcPr>
                  <w:tcW w:w="1056" w:type="dxa"/>
                  <w:vAlign w:val="center"/>
                </w:tcPr>
                <w:p>
                  <w:pPr>
                    <w:pStyle w:val="54"/>
                  </w:pPr>
                  <w:r>
                    <w:rPr>
                      <w:rFonts w:hint="eastAsia"/>
                    </w:rPr>
                    <w:t>3007071</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居民，约500人</w:t>
                  </w:r>
                </w:p>
              </w:tc>
              <w:tc>
                <w:tcPr>
                  <w:tcW w:w="1541" w:type="dxa"/>
                  <w:vAlign w:val="center"/>
                </w:tcPr>
                <w:p>
                  <w:pPr>
                    <w:pStyle w:val="54"/>
                  </w:pPr>
                  <w:r>
                    <w:rPr>
                      <w:rFonts w:hint="eastAsia"/>
                    </w:rPr>
                    <w:t>二类</w:t>
                  </w:r>
                </w:p>
              </w:tc>
              <w:tc>
                <w:tcPr>
                  <w:tcW w:w="1545" w:type="dxa"/>
                  <w:vAlign w:val="center"/>
                </w:tcPr>
                <w:p>
                  <w:pPr>
                    <w:pStyle w:val="54"/>
                  </w:pPr>
                  <w:r>
                    <w:rPr>
                      <w:rFonts w:hint="eastAsia"/>
                    </w:rPr>
                    <w:t>东北</w:t>
                  </w:r>
                </w:p>
              </w:tc>
              <w:tc>
                <w:tcPr>
                  <w:tcW w:w="1887" w:type="dxa"/>
                  <w:vAlign w:val="center"/>
                </w:tcPr>
                <w:p>
                  <w:pPr>
                    <w:pStyle w:val="54"/>
                  </w:pPr>
                  <w:r>
                    <w:rPr>
                      <w:rFonts w:hint="eastAsia"/>
                    </w:rPr>
                    <w:t>2245～3468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restart"/>
                  <w:vAlign w:val="center"/>
                </w:tcPr>
                <w:p>
                  <w:pPr>
                    <w:pStyle w:val="54"/>
                  </w:pPr>
                  <w:r>
                    <w:rPr>
                      <w:rFonts w:hint="eastAsia"/>
                    </w:rPr>
                    <w:t>声环境</w:t>
                  </w:r>
                </w:p>
              </w:tc>
              <w:tc>
                <w:tcPr>
                  <w:tcW w:w="742" w:type="dxa"/>
                  <w:vAlign w:val="center"/>
                </w:tcPr>
                <w:p>
                  <w:pPr>
                    <w:pStyle w:val="54"/>
                  </w:pPr>
                  <w:r>
                    <w:rPr>
                      <w:rFonts w:hint="eastAsia"/>
                    </w:rPr>
                    <w:t>B-03</w:t>
                  </w:r>
                </w:p>
              </w:tc>
              <w:tc>
                <w:tcPr>
                  <w:tcW w:w="1819" w:type="dxa"/>
                  <w:vAlign w:val="center"/>
                </w:tcPr>
                <w:p>
                  <w:pPr>
                    <w:pStyle w:val="54"/>
                  </w:pPr>
                  <w:r>
                    <w:rPr>
                      <w:rFonts w:hint="eastAsia"/>
                    </w:rPr>
                    <w:t>龙新村居民点</w:t>
                  </w:r>
                </w:p>
              </w:tc>
              <w:tc>
                <w:tcPr>
                  <w:tcW w:w="1054" w:type="dxa"/>
                  <w:vAlign w:val="center"/>
                </w:tcPr>
                <w:p>
                  <w:pPr>
                    <w:pStyle w:val="54"/>
                  </w:pPr>
                  <w:r>
                    <w:rPr>
                      <w:rFonts w:hint="eastAsia"/>
                    </w:rPr>
                    <w:t>590636</w:t>
                  </w:r>
                </w:p>
              </w:tc>
              <w:tc>
                <w:tcPr>
                  <w:tcW w:w="1056" w:type="dxa"/>
                  <w:vAlign w:val="center"/>
                </w:tcPr>
                <w:p>
                  <w:pPr>
                    <w:pStyle w:val="54"/>
                  </w:pPr>
                  <w:r>
                    <w:rPr>
                      <w:rFonts w:hint="eastAsia"/>
                    </w:rPr>
                    <w:t>3005342</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居民，3户，约12人</w:t>
                  </w:r>
                </w:p>
              </w:tc>
              <w:tc>
                <w:tcPr>
                  <w:tcW w:w="1541" w:type="dxa"/>
                  <w:vAlign w:val="center"/>
                </w:tcPr>
                <w:p>
                  <w:pPr>
                    <w:pStyle w:val="54"/>
                  </w:pPr>
                  <w:r>
                    <w:rPr>
                      <w:rFonts w:hint="eastAsia"/>
                    </w:rPr>
                    <w:t>2类</w:t>
                  </w:r>
                </w:p>
              </w:tc>
              <w:tc>
                <w:tcPr>
                  <w:tcW w:w="1545" w:type="dxa"/>
                  <w:vAlign w:val="center"/>
                </w:tcPr>
                <w:p>
                  <w:pPr>
                    <w:pStyle w:val="54"/>
                  </w:pPr>
                  <w:r>
                    <w:rPr>
                      <w:rFonts w:hint="eastAsia"/>
                    </w:rPr>
                    <w:t>南</w:t>
                  </w:r>
                </w:p>
              </w:tc>
              <w:tc>
                <w:tcPr>
                  <w:tcW w:w="1887" w:type="dxa"/>
                  <w:vAlign w:val="center"/>
                </w:tcPr>
                <w:p>
                  <w:pPr>
                    <w:pStyle w:val="54"/>
                  </w:pPr>
                  <w:r>
                    <w:rPr>
                      <w:rFonts w:hint="eastAsia"/>
                    </w:rPr>
                    <w:t>140～2500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941" w:type="dxa"/>
                  <w:vMerge w:val="continue"/>
                  <w:vAlign w:val="center"/>
                </w:tcPr>
                <w:p>
                  <w:pPr>
                    <w:pStyle w:val="54"/>
                  </w:pPr>
                </w:p>
              </w:tc>
              <w:tc>
                <w:tcPr>
                  <w:tcW w:w="742" w:type="dxa"/>
                  <w:vAlign w:val="center"/>
                </w:tcPr>
                <w:p>
                  <w:pPr>
                    <w:pStyle w:val="54"/>
                  </w:pPr>
                  <w:r>
                    <w:rPr>
                      <w:rFonts w:hint="eastAsia"/>
                    </w:rPr>
                    <w:t>B-09</w:t>
                  </w:r>
                </w:p>
              </w:tc>
              <w:tc>
                <w:tcPr>
                  <w:tcW w:w="1819" w:type="dxa"/>
                  <w:vAlign w:val="center"/>
                </w:tcPr>
                <w:p>
                  <w:pPr>
                    <w:pStyle w:val="54"/>
                  </w:pPr>
                  <w:r>
                    <w:rPr>
                      <w:rFonts w:hint="eastAsia"/>
                    </w:rPr>
                    <w:t>堂冲坳居民点</w:t>
                  </w:r>
                </w:p>
              </w:tc>
              <w:tc>
                <w:tcPr>
                  <w:tcW w:w="1054" w:type="dxa"/>
                  <w:vAlign w:val="center"/>
                </w:tcPr>
                <w:p>
                  <w:pPr>
                    <w:pStyle w:val="54"/>
                  </w:pPr>
                  <w:r>
                    <w:rPr>
                      <w:rFonts w:hint="eastAsia"/>
                    </w:rPr>
                    <w:t>590620</w:t>
                  </w:r>
                </w:p>
              </w:tc>
              <w:tc>
                <w:tcPr>
                  <w:tcW w:w="1056" w:type="dxa"/>
                  <w:vAlign w:val="center"/>
                </w:tcPr>
                <w:p>
                  <w:pPr>
                    <w:pStyle w:val="54"/>
                  </w:pPr>
                  <w:r>
                    <w:rPr>
                      <w:rFonts w:hint="eastAsia"/>
                    </w:rPr>
                    <w:t>3005631</w:t>
                  </w:r>
                </w:p>
              </w:tc>
              <w:tc>
                <w:tcPr>
                  <w:tcW w:w="1506" w:type="dxa"/>
                  <w:vAlign w:val="center"/>
                </w:tcPr>
                <w:p>
                  <w:pPr>
                    <w:pStyle w:val="54"/>
                  </w:pPr>
                  <w:r>
                    <w:rPr>
                      <w:rFonts w:hint="eastAsia"/>
                    </w:rPr>
                    <w:t>居住区</w:t>
                  </w:r>
                </w:p>
              </w:tc>
              <w:tc>
                <w:tcPr>
                  <w:tcW w:w="1857" w:type="dxa"/>
                  <w:vAlign w:val="center"/>
                </w:tcPr>
                <w:p>
                  <w:pPr>
                    <w:pStyle w:val="54"/>
                  </w:pPr>
                  <w:r>
                    <w:rPr>
                      <w:rFonts w:hint="eastAsia"/>
                    </w:rPr>
                    <w:t>居民，1户，4人</w:t>
                  </w:r>
                </w:p>
              </w:tc>
              <w:tc>
                <w:tcPr>
                  <w:tcW w:w="1541" w:type="dxa"/>
                  <w:vAlign w:val="center"/>
                </w:tcPr>
                <w:p>
                  <w:pPr>
                    <w:pStyle w:val="54"/>
                  </w:pPr>
                  <w:r>
                    <w:rPr>
                      <w:rFonts w:hint="eastAsia"/>
                    </w:rPr>
                    <w:t>2类</w:t>
                  </w:r>
                </w:p>
              </w:tc>
              <w:tc>
                <w:tcPr>
                  <w:tcW w:w="1545" w:type="dxa"/>
                  <w:vAlign w:val="center"/>
                </w:tcPr>
                <w:p>
                  <w:pPr>
                    <w:pStyle w:val="54"/>
                  </w:pPr>
                  <w:r>
                    <w:rPr>
                      <w:rFonts w:hint="eastAsia"/>
                    </w:rPr>
                    <w:t>北</w:t>
                  </w:r>
                </w:p>
              </w:tc>
              <w:tc>
                <w:tcPr>
                  <w:tcW w:w="1887" w:type="dxa"/>
                  <w:vAlign w:val="center"/>
                </w:tcPr>
                <w:p>
                  <w:pPr>
                    <w:pStyle w:val="54"/>
                  </w:pPr>
                  <w:r>
                    <w:rPr>
                      <w:rFonts w:hint="eastAsia"/>
                    </w:rPr>
                    <w:t>70～85</w:t>
                  </w:r>
                </w:p>
              </w:tc>
            </w:tr>
          </w:tbl>
          <w:p>
            <w:pPr>
              <w:widowControl/>
              <w:jc w:val="left"/>
              <w:rPr>
                <w:rFonts w:ascii="Times New Roman" w:hAnsi="Times New Roman" w:cs="Times New Roman"/>
              </w:rPr>
            </w:pPr>
            <w:r>
              <w:rPr>
                <w:rFonts w:hint="eastAsia" w:ascii="Times New Roman" w:hAnsi="Times New Roman" w:cs="Times New Roman"/>
              </w:rPr>
              <w:t>备注：本表采用WGS84坐标系UTM投影，对应的项目中心坐标为X=590670，Y=3005519。</w:t>
            </w:r>
          </w:p>
          <w:p>
            <w:pPr>
              <w:widowControl/>
              <w:jc w:val="left"/>
              <w:rPr>
                <w:rFonts w:ascii="Times New Roman" w:hAnsi="Times New Roman" w:cs="Times New Roman"/>
              </w:rPr>
            </w:pPr>
          </w:p>
        </w:tc>
      </w:tr>
    </w:tbl>
    <w:p>
      <w:pPr>
        <w:widowControl/>
        <w:jc w:val="left"/>
        <w:rPr>
          <w:rFonts w:ascii="Times New Roman" w:hAnsi="Times New Roman" w:cs="Times New Roman"/>
        </w:rPr>
      </w:pPr>
    </w:p>
    <w:p>
      <w:pPr>
        <w:widowControl/>
        <w:jc w:val="left"/>
        <w:rPr>
          <w:rFonts w:ascii="Times New Roman" w:hAnsi="Times New Roman" w:cs="Times New Roman"/>
        </w:rPr>
        <w:sectPr>
          <w:pgSz w:w="16838" w:h="11906" w:orient="landscape"/>
          <w:pgMar w:top="1418" w:right="1440" w:bottom="1418" w:left="1440" w:header="851" w:footer="992" w:gutter="0"/>
          <w:cols w:space="720" w:num="1"/>
          <w:docGrid w:type="lines" w:linePitch="312" w:charSpace="0"/>
        </w:sectPr>
      </w:pPr>
    </w:p>
    <w:p>
      <w:pPr>
        <w:pStyle w:val="2"/>
      </w:pPr>
      <w:bookmarkStart w:id="38" w:name="_Toc7464058"/>
      <w:bookmarkStart w:id="39" w:name="_Toc17813"/>
      <w:bookmarkStart w:id="40" w:name="_Toc5733"/>
      <w:r>
        <w:rPr>
          <w:rFonts w:hint="eastAsia"/>
        </w:rPr>
        <w:t>四、</w:t>
      </w:r>
      <w:r>
        <w:t>评价适用标准</w:t>
      </w:r>
      <w:bookmarkEnd w:id="38"/>
      <w:bookmarkEnd w:id="39"/>
      <w:bookmarkEnd w:id="40"/>
    </w:p>
    <w:tbl>
      <w:tblPr>
        <w:tblStyle w:val="25"/>
        <w:tblW w:w="96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0"/>
        <w:gridCol w:w="9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10" w:hRule="atLeast"/>
          <w:jc w:val="center"/>
        </w:trPr>
        <w:tc>
          <w:tcPr>
            <w:tcW w:w="530" w:type="dxa"/>
            <w:vAlign w:val="center"/>
          </w:tcPr>
          <w:p>
            <w:pPr>
              <w:spacing w:line="520" w:lineRule="exact"/>
              <w:jc w:val="center"/>
              <w:rPr>
                <w:rFonts w:ascii="Times New Roman" w:hAnsi="Times New Roman" w:cs="Times New Roman"/>
                <w:sz w:val="24"/>
              </w:rPr>
            </w:pPr>
            <w:r>
              <w:rPr>
                <w:rFonts w:ascii="Times New Roman" w:hAnsi="Times New Roman" w:cs="Times New Roman"/>
                <w:sz w:val="24"/>
              </w:rPr>
              <w:t>环</w:t>
            </w:r>
          </w:p>
          <w:p>
            <w:pPr>
              <w:spacing w:line="520" w:lineRule="exact"/>
              <w:jc w:val="center"/>
              <w:rPr>
                <w:rFonts w:ascii="Times New Roman" w:hAnsi="Times New Roman" w:cs="Times New Roman"/>
                <w:sz w:val="24"/>
              </w:rPr>
            </w:pPr>
            <w:r>
              <w:rPr>
                <w:rFonts w:ascii="Times New Roman" w:hAnsi="Times New Roman" w:cs="Times New Roman"/>
                <w:sz w:val="24"/>
              </w:rPr>
              <w:t>境</w:t>
            </w:r>
          </w:p>
          <w:p>
            <w:pPr>
              <w:spacing w:line="520" w:lineRule="exact"/>
              <w:jc w:val="center"/>
              <w:rPr>
                <w:rFonts w:ascii="Times New Roman" w:hAnsi="Times New Roman" w:cs="Times New Roman"/>
                <w:sz w:val="24"/>
              </w:rPr>
            </w:pPr>
            <w:r>
              <w:rPr>
                <w:rFonts w:ascii="Times New Roman" w:hAnsi="Times New Roman" w:cs="Times New Roman"/>
                <w:sz w:val="24"/>
              </w:rPr>
              <w:t>质</w:t>
            </w:r>
          </w:p>
          <w:p>
            <w:pPr>
              <w:spacing w:line="520" w:lineRule="exact"/>
              <w:jc w:val="center"/>
              <w:rPr>
                <w:rFonts w:ascii="Times New Roman" w:hAnsi="Times New Roman" w:cs="Times New Roman"/>
                <w:sz w:val="24"/>
              </w:rPr>
            </w:pPr>
            <w:r>
              <w:rPr>
                <w:rFonts w:ascii="Times New Roman" w:hAnsi="Times New Roman" w:cs="Times New Roman"/>
                <w:sz w:val="24"/>
              </w:rPr>
              <w:t>量</w:t>
            </w:r>
          </w:p>
          <w:p>
            <w:pPr>
              <w:spacing w:line="520" w:lineRule="exact"/>
              <w:jc w:val="center"/>
              <w:rPr>
                <w:rFonts w:ascii="Times New Roman" w:hAnsi="Times New Roman" w:cs="Times New Roman"/>
                <w:sz w:val="24"/>
              </w:rPr>
            </w:pPr>
            <w:r>
              <w:rPr>
                <w:rFonts w:ascii="Times New Roman" w:hAnsi="Times New Roman" w:cs="Times New Roman"/>
                <w:sz w:val="24"/>
              </w:rPr>
              <w:t>标</w:t>
            </w:r>
          </w:p>
          <w:p>
            <w:pPr>
              <w:spacing w:line="520" w:lineRule="exact"/>
              <w:jc w:val="center"/>
              <w:rPr>
                <w:rFonts w:ascii="Times New Roman" w:hAnsi="Times New Roman" w:cs="Times New Roman"/>
                <w:sz w:val="24"/>
              </w:rPr>
            </w:pPr>
            <w:r>
              <w:rPr>
                <w:rFonts w:ascii="Times New Roman" w:hAnsi="Times New Roman" w:cs="Times New Roman"/>
                <w:sz w:val="24"/>
              </w:rPr>
              <w:t>准</w:t>
            </w:r>
          </w:p>
        </w:tc>
        <w:tc>
          <w:tcPr>
            <w:tcW w:w="9118" w:type="dxa"/>
            <w:vAlign w:val="center"/>
          </w:tcPr>
          <w:p>
            <w:pPr>
              <w:spacing w:line="360" w:lineRule="auto"/>
              <w:ind w:firstLine="480" w:firstLineChars="200"/>
              <w:rPr>
                <w:rFonts w:ascii="Times New Roman" w:hAnsi="Times New Roman" w:cs="Times New Roman"/>
                <w:sz w:val="24"/>
              </w:rPr>
            </w:pPr>
            <w:r>
              <w:rPr>
                <w:rFonts w:ascii="Times New Roman" w:hAnsi="Times New Roman" w:cs="Times New Roman"/>
                <w:sz w:val="24"/>
              </w:rPr>
              <w:t>（1）大气环境：执行《环境空气质量标准》（GB3095-2012）中二级标准</w:t>
            </w:r>
            <w:r>
              <w:rPr>
                <w:rFonts w:hint="eastAsia" w:ascii="Times New Roman" w:hAnsi="Times New Roman" w:cs="Times New Roman"/>
                <w:sz w:val="24"/>
              </w:rPr>
              <w:t>，相关标准限值见</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_Ref492885979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表4-</w:t>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t>。</w:t>
            </w:r>
          </w:p>
          <w:p>
            <w:pPr>
              <w:pStyle w:val="38"/>
              <w:keepNext/>
              <w:spacing w:before="156"/>
              <w:rPr>
                <w:color w:val="auto"/>
              </w:rPr>
            </w:pPr>
            <w:bookmarkStart w:id="41" w:name="_Ref492885979"/>
            <w:r>
              <w:rPr>
                <w:rFonts w:hint="eastAsia"/>
                <w:color w:val="auto"/>
              </w:rPr>
              <w:t>表4-</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1</w:t>
            </w:r>
            <w:r>
              <w:rPr>
                <w:color w:val="auto"/>
              </w:rPr>
              <w:fldChar w:fldCharType="end"/>
            </w:r>
            <w:bookmarkEnd w:id="41"/>
            <w:r>
              <w:rPr>
                <w:color w:val="auto"/>
              </w:rPr>
              <w:t xml:space="preserve">  </w:t>
            </w:r>
            <w:r>
              <w:rPr>
                <w:rFonts w:hint="eastAsia"/>
                <w:color w:val="auto"/>
              </w:rPr>
              <w:t xml:space="preserve"> </w:t>
            </w:r>
            <w:r>
              <w:rPr>
                <w:color w:val="auto"/>
              </w:rPr>
              <w:t>环境空气质量标准</w:t>
            </w:r>
          </w:p>
          <w:tbl>
            <w:tblPr>
              <w:tblStyle w:val="25"/>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02"/>
              <w:gridCol w:w="1559"/>
              <w:gridCol w:w="1560"/>
              <w:gridCol w:w="120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rPr>
                    <w:t>污染物名称</w:t>
                  </w:r>
                </w:p>
              </w:tc>
              <w:tc>
                <w:tcPr>
                  <w:tcW w:w="1559" w:type="dxa"/>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cs="Times New Roman"/>
                      <w:b/>
                      <w:bCs/>
                    </w:rPr>
                    <w:t>平均时段</w:t>
                  </w:r>
                </w:p>
              </w:tc>
              <w:tc>
                <w:tcPr>
                  <w:tcW w:w="1560"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rPr>
                    <w:t>标准限值</w:t>
                  </w:r>
                </w:p>
              </w:tc>
              <w:tc>
                <w:tcPr>
                  <w:tcW w:w="1204" w:type="dxa"/>
                  <w:vAlign w:val="center"/>
                </w:tcPr>
                <w:p>
                  <w:pPr>
                    <w:adjustRightInd w:val="0"/>
                    <w:snapToGrid w:val="0"/>
                    <w:jc w:val="center"/>
                    <w:rPr>
                      <w:rFonts w:ascii="Times New Roman" w:hAnsi="Times New Roman" w:eastAsia="宋体" w:cs="Times New Roman"/>
                      <w:b/>
                      <w:bCs/>
                      <w:szCs w:val="21"/>
                    </w:rPr>
                  </w:pPr>
                  <w:r>
                    <w:rPr>
                      <w:rFonts w:ascii="Times New Roman" w:hAnsi="Times New Roman" w:cs="Times New Roman"/>
                      <w:b/>
                      <w:bCs/>
                    </w:rPr>
                    <w:t>浓度单位</w:t>
                  </w:r>
                </w:p>
              </w:tc>
              <w:tc>
                <w:tcPr>
                  <w:tcW w:w="2693" w:type="dxa"/>
                  <w:vAlign w:val="center"/>
                </w:tcPr>
                <w:p>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adjustRightInd w:val="0"/>
                    <w:snapToGrid w:val="0"/>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年平均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60</w:t>
                  </w:r>
                </w:p>
              </w:tc>
              <w:tc>
                <w:tcPr>
                  <w:tcW w:w="1204" w:type="dxa"/>
                  <w:vMerge w:val="restart"/>
                  <w:vAlign w:val="center"/>
                </w:tcPr>
                <w:p>
                  <w:pPr>
                    <w:adjustRightInd w:val="0"/>
                    <w:snapToGrid w:val="0"/>
                    <w:jc w:val="center"/>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p>
              </w:tc>
              <w:tc>
                <w:tcPr>
                  <w:tcW w:w="2693"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adjustRightInd w:val="0"/>
                    <w:snapToGrid w:val="0"/>
                    <w:jc w:val="center"/>
                    <w:rPr>
                      <w:rFonts w:ascii="Times New Roman" w:hAnsi="Times New Roman" w:eastAsia="宋体" w:cs="Times New Roman"/>
                      <w:szCs w:val="21"/>
                    </w:rPr>
                  </w:pPr>
                </w:p>
              </w:tc>
              <w:tc>
                <w:tcPr>
                  <w:tcW w:w="155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24h平均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150</w:t>
                  </w:r>
                </w:p>
              </w:tc>
              <w:tc>
                <w:tcPr>
                  <w:tcW w:w="1204" w:type="dxa"/>
                  <w:vMerge w:val="continue"/>
                  <w:vAlign w:val="center"/>
                </w:tcPr>
                <w:p>
                  <w:pPr>
                    <w:adjustRightInd w:val="0"/>
                    <w:snapToGrid w:val="0"/>
                    <w:jc w:val="center"/>
                    <w:rPr>
                      <w:rFonts w:ascii="Times New Roman" w:hAnsi="Times New Roman" w:eastAsia="宋体" w:cs="Times New Roman"/>
                      <w:szCs w:val="21"/>
                    </w:rPr>
                  </w:pPr>
                </w:p>
              </w:tc>
              <w:tc>
                <w:tcPr>
                  <w:tcW w:w="2693"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adjustRightInd w:val="0"/>
                    <w:snapToGrid w:val="0"/>
                    <w:jc w:val="center"/>
                    <w:rPr>
                      <w:rFonts w:ascii="Times New Roman" w:hAnsi="Times New Roman" w:eastAsia="宋体" w:cs="Times New Roman"/>
                      <w:szCs w:val="21"/>
                    </w:rPr>
                  </w:pP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1小时平均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204" w:type="dxa"/>
                  <w:vMerge w:val="continue"/>
                  <w:vAlign w:val="center"/>
                </w:tcPr>
                <w:p>
                  <w:pPr>
                    <w:adjustRightInd w:val="0"/>
                    <w:snapToGrid w:val="0"/>
                    <w:jc w:val="center"/>
                    <w:rPr>
                      <w:rFonts w:ascii="Times New Roman" w:hAnsi="Times New Roman" w:eastAsia="宋体" w:cs="Times New Roman"/>
                      <w:szCs w:val="21"/>
                    </w:rPr>
                  </w:pPr>
                </w:p>
              </w:tc>
              <w:tc>
                <w:tcPr>
                  <w:tcW w:w="2693"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adjustRightInd w:val="0"/>
                    <w:snapToGrid w:val="0"/>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年平均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adjustRightInd w:val="0"/>
                    <w:snapToGrid w:val="0"/>
                    <w:jc w:val="center"/>
                    <w:rPr>
                      <w:rFonts w:ascii="Times New Roman" w:hAnsi="Times New Roman" w:eastAsia="宋体" w:cs="Times New Roman"/>
                      <w:szCs w:val="21"/>
                    </w:rPr>
                  </w:pPr>
                </w:p>
              </w:tc>
              <w:tc>
                <w:tcPr>
                  <w:tcW w:w="155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24h平均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adjustRightInd w:val="0"/>
                    <w:snapToGrid w:val="0"/>
                    <w:jc w:val="center"/>
                    <w:rPr>
                      <w:rFonts w:ascii="Times New Roman" w:hAnsi="Times New Roman" w:eastAsia="宋体" w:cs="Times New Roman"/>
                      <w:szCs w:val="21"/>
                    </w:rPr>
                  </w:pP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1小时平均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jc w:val="center"/>
                    <w:rPr>
                      <w:rFonts w:ascii="Times New Roman" w:hAnsi="Times New Roman" w:cs="Times New Roman"/>
                      <w:kern w:val="0"/>
                    </w:rPr>
                  </w:pPr>
                  <w:r>
                    <w:rPr>
                      <w:rFonts w:ascii="Times New Roman" w:hAnsi="Times New Roman" w:cs="Times New Roman"/>
                      <w:kern w:val="0"/>
                    </w:rPr>
                    <w:t>PM</w:t>
                  </w:r>
                  <w:r>
                    <w:rPr>
                      <w:rFonts w:ascii="Times New Roman" w:hAnsi="Times New Roman" w:cs="Times New Roman"/>
                      <w:kern w:val="0"/>
                      <w:vertAlign w:val="subscript"/>
                    </w:rPr>
                    <w:t>10</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年平均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70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widowControl/>
                    <w:jc w:val="center"/>
                    <w:rPr>
                      <w:rFonts w:ascii="Times New Roman" w:hAnsi="Times New Roman" w:eastAsia="宋体" w:cs="Times New Roman"/>
                      <w:kern w:val="0"/>
                      <w:szCs w:val="21"/>
                      <w:vertAlign w:val="subscript"/>
                    </w:rPr>
                  </w:pPr>
                </w:p>
              </w:tc>
              <w:tc>
                <w:tcPr>
                  <w:tcW w:w="155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24h</w:t>
                  </w:r>
                  <w:r>
                    <w:rPr>
                      <w:rFonts w:ascii="Times New Roman" w:hAnsi="Times New Roman" w:cs="Times New Roman"/>
                    </w:rPr>
                    <w:t>平均</w:t>
                  </w:r>
                </w:p>
              </w:tc>
              <w:tc>
                <w:tcPr>
                  <w:tcW w:w="156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150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widowControl/>
                    <w:jc w:val="center"/>
                    <w:rPr>
                      <w:rFonts w:ascii="Times New Roman" w:hAnsi="Times New Roman" w:eastAsia="宋体" w:cs="Times New Roman"/>
                      <w:kern w:val="0"/>
                      <w:szCs w:val="21"/>
                      <w:vertAlign w:val="subscript"/>
                    </w:rPr>
                  </w:pPr>
                  <w:r>
                    <w:rPr>
                      <w:rFonts w:ascii="Times New Roman" w:hAnsi="Times New Roman" w:cs="Times New Roman"/>
                      <w:kern w:val="0"/>
                    </w:rPr>
                    <w:t>PM</w:t>
                  </w:r>
                  <w:r>
                    <w:rPr>
                      <w:rFonts w:hint="eastAsia" w:ascii="Times New Roman" w:hAnsi="Times New Roman" w:cs="Times New Roman"/>
                      <w:kern w:val="0"/>
                      <w:vertAlign w:val="subscript"/>
                    </w:rPr>
                    <w:t>2.5</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年平均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35</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widowControl/>
                    <w:jc w:val="center"/>
                    <w:rPr>
                      <w:rFonts w:ascii="Times New Roman" w:hAnsi="Times New Roman" w:eastAsia="宋体" w:cs="Times New Roman"/>
                      <w:kern w:val="0"/>
                      <w:szCs w:val="21"/>
                      <w:vertAlign w:val="subscript"/>
                    </w:rPr>
                  </w:pPr>
                </w:p>
              </w:tc>
              <w:tc>
                <w:tcPr>
                  <w:tcW w:w="155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24h</w:t>
                  </w:r>
                  <w:r>
                    <w:rPr>
                      <w:rFonts w:ascii="Times New Roman" w:hAnsi="Times New Roman" w:cs="Times New Roman"/>
                    </w:rPr>
                    <w:t>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75</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widowControl/>
                    <w:jc w:val="center"/>
                    <w:rPr>
                      <w:rFonts w:ascii="Times New Roman" w:hAnsi="Times New Roman" w:eastAsia="宋体" w:cs="Times New Roman"/>
                      <w:kern w:val="0"/>
                      <w:szCs w:val="21"/>
                      <w:vertAlign w:val="subscript"/>
                    </w:rPr>
                  </w:pPr>
                  <w:r>
                    <w:rPr>
                      <w:rFonts w:hint="eastAsia" w:ascii="Times New Roman" w:hAnsi="Times New Roman" w:cs="Times New Roman"/>
                      <w:kern w:val="0"/>
                    </w:rPr>
                    <w:t>O</w:t>
                  </w:r>
                  <w:r>
                    <w:rPr>
                      <w:rFonts w:hint="eastAsia" w:ascii="Times New Roman" w:hAnsi="Times New Roman" w:cs="Times New Roman"/>
                      <w:kern w:val="0"/>
                      <w:vertAlign w:val="subscript"/>
                    </w:rPr>
                    <w:t>3</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日最大8h均值</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160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widowControl/>
                    <w:jc w:val="center"/>
                    <w:rPr>
                      <w:rFonts w:ascii="Times New Roman" w:hAnsi="Times New Roman" w:eastAsia="宋体" w:cs="Times New Roman"/>
                      <w:kern w:val="0"/>
                      <w:szCs w:val="21"/>
                      <w:vertAlign w:val="subscript"/>
                    </w:rPr>
                  </w:pP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1h</w:t>
                  </w:r>
                  <w:r>
                    <w:rPr>
                      <w:rFonts w:ascii="Times New Roman" w:hAnsi="Times New Roman" w:cs="Times New Roman"/>
                    </w:rPr>
                    <w:t>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200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restart"/>
                  <w:vAlign w:val="center"/>
                </w:tcPr>
                <w:p>
                  <w:pPr>
                    <w:jc w:val="center"/>
                    <w:rPr>
                      <w:rFonts w:ascii="Times New Roman" w:hAnsi="Times New Roman" w:cs="Times New Roman"/>
                      <w:kern w:val="0"/>
                    </w:rPr>
                  </w:pPr>
                  <w:r>
                    <w:rPr>
                      <w:rFonts w:hint="eastAsia" w:ascii="Times New Roman" w:hAnsi="Times New Roman" w:cs="Times New Roman"/>
                      <w:kern w:val="0"/>
                    </w:rPr>
                    <w:t>CO</w:t>
                  </w: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24h</w:t>
                  </w:r>
                  <w:r>
                    <w:rPr>
                      <w:rFonts w:ascii="Times New Roman" w:hAnsi="Times New Roman" w:cs="Times New Roman"/>
                    </w:rPr>
                    <w:t>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4</w:t>
                  </w:r>
                </w:p>
              </w:tc>
              <w:tc>
                <w:tcPr>
                  <w:tcW w:w="1204"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cs="Times New Roman"/>
                    </w:rPr>
                    <w:t>m</w:t>
                  </w:r>
                  <w:r>
                    <w:rPr>
                      <w:rFonts w:ascii="Times New Roman" w:hAnsi="Times New Roman" w:cs="Times New Roman"/>
                    </w:rPr>
                    <w:t>g/m</w:t>
                  </w:r>
                  <w:r>
                    <w:rPr>
                      <w:rFonts w:ascii="Times New Roman" w:hAnsi="Times New Roman" w:cs="Times New Roman"/>
                      <w:vertAlign w:val="superscript"/>
                    </w:rPr>
                    <w:t>3</w:t>
                  </w:r>
                </w:p>
              </w:tc>
              <w:tc>
                <w:tcPr>
                  <w:tcW w:w="2693" w:type="dxa"/>
                  <w:vMerge w:val="continue"/>
                  <w:vAlign w:val="center"/>
                </w:tcPr>
                <w:p>
                  <w:pPr>
                    <w:widowControl/>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1702" w:type="dxa"/>
                  <w:vMerge w:val="continue"/>
                  <w:vAlign w:val="center"/>
                </w:tcPr>
                <w:p>
                  <w:pPr>
                    <w:widowControl/>
                    <w:jc w:val="center"/>
                    <w:rPr>
                      <w:rFonts w:ascii="Times New Roman" w:hAnsi="Times New Roman" w:cs="Times New Roman"/>
                      <w:kern w:val="0"/>
                    </w:rPr>
                  </w:pPr>
                </w:p>
              </w:tc>
              <w:tc>
                <w:tcPr>
                  <w:tcW w:w="1559"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1h</w:t>
                  </w:r>
                  <w:r>
                    <w:rPr>
                      <w:rFonts w:ascii="Times New Roman" w:hAnsi="Times New Roman" w:cs="Times New Roman"/>
                    </w:rPr>
                    <w:t>平均</w:t>
                  </w:r>
                </w:p>
              </w:tc>
              <w:tc>
                <w:tcPr>
                  <w:tcW w:w="1560"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10</w:t>
                  </w:r>
                </w:p>
              </w:tc>
              <w:tc>
                <w:tcPr>
                  <w:tcW w:w="1204" w:type="dxa"/>
                  <w:vMerge w:val="continue"/>
                  <w:vAlign w:val="center"/>
                </w:tcPr>
                <w:p>
                  <w:pPr>
                    <w:widowControl/>
                    <w:jc w:val="left"/>
                    <w:rPr>
                      <w:rFonts w:ascii="Times New Roman" w:hAnsi="Times New Roman" w:eastAsia="宋体" w:cs="Times New Roman"/>
                      <w:szCs w:val="21"/>
                    </w:rPr>
                  </w:pPr>
                </w:p>
              </w:tc>
              <w:tc>
                <w:tcPr>
                  <w:tcW w:w="2693" w:type="dxa"/>
                  <w:vMerge w:val="continue"/>
                  <w:vAlign w:val="center"/>
                </w:tcPr>
                <w:p>
                  <w:pPr>
                    <w:widowControl/>
                    <w:jc w:val="left"/>
                    <w:rPr>
                      <w:rFonts w:ascii="Times New Roman" w:hAnsi="Times New Roman" w:eastAsia="宋体" w:cs="Times New Roman"/>
                      <w:szCs w:val="21"/>
                    </w:rPr>
                  </w:pP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（2）地表水环境：</w:t>
            </w:r>
            <w:r>
              <w:rPr>
                <w:rFonts w:hint="eastAsia" w:ascii="Times New Roman" w:hAnsi="Times New Roman" w:cs="Times New Roman"/>
                <w:sz w:val="24"/>
              </w:rPr>
              <w:t>本项目拟建地周边1000m范围内无大型地表水体，且本项目生产废水经沉淀后回用于生产，生活污水经化粪池处理后用作农肥，不外排。本环评不对地表水环境质量现状进行监测和评价。</w:t>
            </w:r>
          </w:p>
          <w:p>
            <w:pPr>
              <w:spacing w:line="360" w:lineRule="auto"/>
              <w:ind w:firstLine="480" w:firstLineChars="200"/>
              <w:jc w:val="left"/>
              <w:rPr>
                <w:rFonts w:ascii="Times New Roman" w:hAnsi="Times New Roman" w:eastAsia="宋体" w:cs="Times New Roman"/>
                <w:sz w:val="24"/>
              </w:rPr>
            </w:pPr>
            <w:r>
              <w:rPr>
                <w:rFonts w:ascii="Times New Roman" w:hAnsi="Times New Roman" w:cs="Times New Roman"/>
                <w:sz w:val="24"/>
              </w:rPr>
              <w:t>（</w:t>
            </w:r>
            <w:r>
              <w:rPr>
                <w:rFonts w:hint="eastAsia" w:ascii="Times New Roman" w:hAnsi="Times New Roman" w:cs="Times New Roman"/>
                <w:sz w:val="24"/>
              </w:rPr>
              <w:t>3</w:t>
            </w:r>
            <w:r>
              <w:rPr>
                <w:rFonts w:ascii="Times New Roman" w:hAnsi="Times New Roman" w:cs="Times New Roman"/>
                <w:sz w:val="24"/>
              </w:rPr>
              <w:t>）声环境：执行《声环境质量标准》（GB3096-2008）中</w:t>
            </w:r>
            <w:r>
              <w:rPr>
                <w:rFonts w:hint="eastAsia" w:ascii="Times New Roman" w:hAnsi="Times New Roman" w:eastAsia="宋体" w:cs="Times New Roman"/>
                <w:sz w:val="24"/>
              </w:rPr>
              <w:t>2</w:t>
            </w:r>
            <w:r>
              <w:rPr>
                <w:rFonts w:ascii="Times New Roman" w:hAnsi="Times New Roman" w:cs="Times New Roman"/>
                <w:sz w:val="24"/>
              </w:rPr>
              <w:t>类标准</w:t>
            </w:r>
            <w:r>
              <w:rPr>
                <w:rFonts w:hint="eastAsia" w:ascii="Times New Roman" w:hAnsi="Times New Roman" w:cs="Times New Roman"/>
                <w:sz w:val="24"/>
              </w:rPr>
              <w:t>，详见</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_Ref492885995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表4-</w:t>
            </w:r>
            <w:r>
              <w:rPr>
                <w:rFonts w:ascii="Times New Roman" w:hAnsi="Times New Roman" w:cs="Times New Roman"/>
                <w:sz w:val="24"/>
              </w:rPr>
              <w:t>2</w:t>
            </w:r>
            <w:r>
              <w:rPr>
                <w:rFonts w:ascii="Times New Roman" w:hAnsi="Times New Roman" w:cs="Times New Roman"/>
                <w:sz w:val="24"/>
              </w:rPr>
              <w:fldChar w:fldCharType="end"/>
            </w:r>
            <w:r>
              <w:rPr>
                <w:rFonts w:ascii="Times New Roman" w:hAnsi="Times New Roman" w:cs="Times New Roman"/>
                <w:sz w:val="24"/>
              </w:rPr>
              <w:t>。</w:t>
            </w:r>
          </w:p>
          <w:p>
            <w:pPr>
              <w:pStyle w:val="38"/>
              <w:spacing w:before="156"/>
              <w:rPr>
                <w:color w:val="auto"/>
              </w:rPr>
            </w:pPr>
            <w:bookmarkStart w:id="42" w:name="_Ref492885995"/>
            <w:r>
              <w:rPr>
                <w:rFonts w:hint="eastAsia"/>
                <w:color w:val="auto"/>
              </w:rPr>
              <w:t>表4-</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2</w:t>
            </w:r>
            <w:r>
              <w:rPr>
                <w:color w:val="auto"/>
              </w:rPr>
              <w:fldChar w:fldCharType="end"/>
            </w:r>
            <w:bookmarkEnd w:id="42"/>
            <w:r>
              <w:rPr>
                <w:color w:val="auto"/>
              </w:rPr>
              <w:t xml:space="preserve">  </w:t>
            </w:r>
            <w:r>
              <w:rPr>
                <w:rFonts w:hint="eastAsia"/>
                <w:color w:val="auto"/>
              </w:rPr>
              <w:t xml:space="preserve"> </w:t>
            </w:r>
            <w:r>
              <w:rPr>
                <w:color w:val="auto"/>
              </w:rPr>
              <w:t>声环境</w:t>
            </w:r>
            <w:r>
              <w:rPr>
                <w:rFonts w:hint="eastAsia"/>
                <w:color w:val="auto"/>
              </w:rPr>
              <w:t>执行</w:t>
            </w:r>
            <w:r>
              <w:rPr>
                <w:color w:val="auto"/>
              </w:rPr>
              <w:t>标准</w:t>
            </w:r>
          </w:p>
          <w:tbl>
            <w:tblPr>
              <w:tblStyle w:val="25"/>
              <w:tblW w:w="8718" w:type="dxa"/>
              <w:tblInd w:w="0" w:type="dxa"/>
              <w:tblLayout w:type="fixed"/>
              <w:tblCellMar>
                <w:top w:w="0" w:type="dxa"/>
                <w:left w:w="108" w:type="dxa"/>
                <w:bottom w:w="0" w:type="dxa"/>
                <w:right w:w="108" w:type="dxa"/>
              </w:tblCellMar>
            </w:tblPr>
            <w:tblGrid>
              <w:gridCol w:w="1900"/>
              <w:gridCol w:w="2994"/>
              <w:gridCol w:w="3824"/>
            </w:tblGrid>
            <w:tr>
              <w:tblPrEx>
                <w:tblLayout w:type="fixed"/>
                <w:tblCellMar>
                  <w:top w:w="0" w:type="dxa"/>
                  <w:left w:w="108" w:type="dxa"/>
                  <w:bottom w:w="0" w:type="dxa"/>
                  <w:right w:w="108" w:type="dxa"/>
                </w:tblCellMar>
              </w:tblPrEx>
              <w:trPr>
                <w:cantSplit/>
                <w:trHeight w:val="340" w:hRule="atLeast"/>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bCs/>
                      <w:szCs w:val="21"/>
                    </w:rPr>
                  </w:pPr>
                  <w:r>
                    <w:rPr>
                      <w:rFonts w:ascii="Times New Roman" w:hAnsi="Times New Roman" w:cs="Times New Roman"/>
                      <w:b/>
                      <w:bCs/>
                    </w:rPr>
                    <w:t>类    别</w:t>
                  </w:r>
                </w:p>
              </w:tc>
              <w:tc>
                <w:tcPr>
                  <w:tcW w:w="299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szCs w:val="21"/>
                    </w:rPr>
                  </w:pPr>
                  <w:r>
                    <w:rPr>
                      <w:rFonts w:ascii="Times New Roman" w:hAnsi="Times New Roman" w:cs="Times New Roman"/>
                      <w:b/>
                      <w:bCs/>
                    </w:rPr>
                    <w:t>昼    间</w:t>
                  </w:r>
                </w:p>
              </w:tc>
              <w:tc>
                <w:tcPr>
                  <w:tcW w:w="38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bCs/>
                      <w:szCs w:val="21"/>
                    </w:rPr>
                  </w:pPr>
                  <w:r>
                    <w:rPr>
                      <w:rFonts w:ascii="Times New Roman" w:hAnsi="Times New Roman" w:cs="Times New Roman"/>
                      <w:b/>
                      <w:bCs/>
                    </w:rPr>
                    <w:t>夜    间</w:t>
                  </w:r>
                </w:p>
              </w:tc>
            </w:tr>
            <w:tr>
              <w:tblPrEx>
                <w:tblLayout w:type="fixed"/>
                <w:tblCellMar>
                  <w:top w:w="0" w:type="dxa"/>
                  <w:left w:w="108" w:type="dxa"/>
                  <w:bottom w:w="0" w:type="dxa"/>
                  <w:right w:w="108" w:type="dxa"/>
                </w:tblCellMar>
              </w:tblPrEx>
              <w:trPr>
                <w:cantSplit/>
                <w:trHeight w:val="340" w:hRule="atLeast"/>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2类</w:t>
                  </w:r>
                </w:p>
              </w:tc>
              <w:tc>
                <w:tcPr>
                  <w:tcW w:w="299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6</w:t>
                  </w:r>
                  <w:r>
                    <w:rPr>
                      <w:rFonts w:hint="eastAsia" w:ascii="Times New Roman" w:hAnsi="Times New Roman" w:cs="Times New Roman"/>
                    </w:rPr>
                    <w:t>0</w:t>
                  </w:r>
                  <w:r>
                    <w:rPr>
                      <w:rFonts w:ascii="Times New Roman" w:hAnsi="Times New Roman" w:cs="Times New Roman"/>
                    </w:rPr>
                    <w:t>dB（A）</w:t>
                  </w:r>
                </w:p>
              </w:tc>
              <w:tc>
                <w:tcPr>
                  <w:tcW w:w="382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5</w:t>
                  </w:r>
                  <w:r>
                    <w:rPr>
                      <w:rFonts w:hint="eastAsia" w:ascii="Times New Roman" w:hAnsi="Times New Roman" w:cs="Times New Roman"/>
                    </w:rPr>
                    <w:t>0</w:t>
                  </w:r>
                  <w:r>
                    <w:rPr>
                      <w:rFonts w:ascii="Times New Roman" w:hAnsi="Times New Roman" w:cs="Times New Roman"/>
                    </w:rPr>
                    <w:t>dB（A）</w:t>
                  </w:r>
                </w:p>
              </w:tc>
            </w:tr>
          </w:tbl>
          <w:p>
            <w:pPr>
              <w:kinsoku w:val="0"/>
              <w:overflowPunct w:val="0"/>
              <w:autoSpaceDE w:val="0"/>
              <w:autoSpaceDN w:val="0"/>
              <w:adjustRightInd w:val="0"/>
              <w:snapToGrid w:val="0"/>
              <w:spacing w:line="360" w:lineRule="auto"/>
              <w:rPr>
                <w:rFonts w:ascii="Times New Roman" w:hAnsi="Times New Roman" w:cs="Times New Roman"/>
                <w:sz w:val="24"/>
              </w:rPr>
            </w:pPr>
          </w:p>
          <w:p>
            <w:pPr>
              <w:kinsoku w:val="0"/>
              <w:overflowPunct w:val="0"/>
              <w:autoSpaceDE w:val="0"/>
              <w:autoSpaceDN w:val="0"/>
              <w:adjustRightInd w:val="0"/>
              <w:snapToGrid w:val="0"/>
              <w:spacing w:line="360" w:lineRule="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1" w:hRule="atLeast"/>
          <w:jc w:val="center"/>
        </w:trPr>
        <w:tc>
          <w:tcPr>
            <w:tcW w:w="530" w:type="dxa"/>
            <w:vAlign w:val="center"/>
          </w:tcPr>
          <w:p>
            <w:pPr>
              <w:spacing w:line="520" w:lineRule="exact"/>
              <w:jc w:val="center"/>
              <w:rPr>
                <w:rFonts w:ascii="Times New Roman" w:hAnsi="Times New Roman" w:cs="Times New Roman"/>
                <w:sz w:val="24"/>
              </w:rPr>
            </w:pPr>
            <w:r>
              <w:rPr>
                <w:rFonts w:ascii="Times New Roman" w:hAnsi="Times New Roman" w:cs="Times New Roman"/>
                <w:sz w:val="24"/>
              </w:rPr>
              <w:t>污</w:t>
            </w:r>
          </w:p>
          <w:p>
            <w:pPr>
              <w:spacing w:line="520" w:lineRule="exact"/>
              <w:jc w:val="center"/>
              <w:rPr>
                <w:rFonts w:ascii="Times New Roman" w:hAnsi="Times New Roman" w:cs="Times New Roman"/>
                <w:sz w:val="24"/>
              </w:rPr>
            </w:pPr>
            <w:r>
              <w:rPr>
                <w:rFonts w:ascii="Times New Roman" w:hAnsi="Times New Roman" w:cs="Times New Roman"/>
                <w:sz w:val="24"/>
              </w:rPr>
              <w:t>染</w:t>
            </w:r>
          </w:p>
          <w:p>
            <w:pPr>
              <w:spacing w:line="520" w:lineRule="exact"/>
              <w:jc w:val="center"/>
              <w:rPr>
                <w:rFonts w:ascii="Times New Roman" w:hAnsi="Times New Roman" w:cs="Times New Roman"/>
                <w:sz w:val="24"/>
              </w:rPr>
            </w:pPr>
            <w:r>
              <w:rPr>
                <w:rFonts w:ascii="Times New Roman" w:hAnsi="Times New Roman" w:cs="Times New Roman"/>
                <w:sz w:val="24"/>
              </w:rPr>
              <w:t>物</w:t>
            </w:r>
          </w:p>
          <w:p>
            <w:pPr>
              <w:spacing w:line="520" w:lineRule="exact"/>
              <w:jc w:val="center"/>
              <w:rPr>
                <w:rFonts w:ascii="Times New Roman" w:hAnsi="Times New Roman" w:cs="Times New Roman"/>
                <w:sz w:val="24"/>
              </w:rPr>
            </w:pPr>
            <w:r>
              <w:rPr>
                <w:rFonts w:ascii="Times New Roman" w:hAnsi="Times New Roman" w:cs="Times New Roman"/>
                <w:sz w:val="24"/>
              </w:rPr>
              <w:t>排</w:t>
            </w:r>
          </w:p>
          <w:p>
            <w:pPr>
              <w:spacing w:line="520" w:lineRule="exact"/>
              <w:jc w:val="center"/>
              <w:rPr>
                <w:rFonts w:ascii="Times New Roman" w:hAnsi="Times New Roman" w:cs="Times New Roman"/>
                <w:sz w:val="24"/>
              </w:rPr>
            </w:pPr>
            <w:r>
              <w:rPr>
                <w:rFonts w:ascii="Times New Roman" w:hAnsi="Times New Roman" w:cs="Times New Roman"/>
                <w:sz w:val="24"/>
              </w:rPr>
              <w:t>放</w:t>
            </w:r>
          </w:p>
          <w:p>
            <w:pPr>
              <w:spacing w:line="520" w:lineRule="exact"/>
              <w:jc w:val="center"/>
              <w:rPr>
                <w:rFonts w:ascii="Times New Roman" w:hAnsi="Times New Roman" w:cs="Times New Roman"/>
                <w:sz w:val="24"/>
              </w:rPr>
            </w:pPr>
            <w:r>
              <w:rPr>
                <w:rFonts w:ascii="Times New Roman" w:hAnsi="Times New Roman" w:cs="Times New Roman"/>
                <w:sz w:val="24"/>
              </w:rPr>
              <w:t>标</w:t>
            </w:r>
          </w:p>
          <w:p>
            <w:pPr>
              <w:spacing w:line="520" w:lineRule="exact"/>
              <w:jc w:val="center"/>
              <w:rPr>
                <w:rFonts w:ascii="Times New Roman" w:hAnsi="Times New Roman" w:cs="Times New Roman"/>
                <w:sz w:val="24"/>
                <w:u w:val="single"/>
              </w:rPr>
            </w:pPr>
            <w:r>
              <w:rPr>
                <w:rFonts w:ascii="Times New Roman" w:hAnsi="Times New Roman" w:cs="Times New Roman"/>
                <w:sz w:val="24"/>
              </w:rPr>
              <w:t>准</w:t>
            </w:r>
          </w:p>
        </w:tc>
        <w:tc>
          <w:tcPr>
            <w:tcW w:w="9118" w:type="dxa"/>
            <w:vAlign w:val="center"/>
          </w:tcPr>
          <w:p>
            <w:pPr>
              <w:pStyle w:val="4"/>
              <w:spacing w:after="0"/>
              <w:ind w:firstLine="480"/>
              <w:rPr>
                <w:rFonts w:ascii="Times New Roman" w:hAnsi="Times New Roman" w:cs="Times New Roman"/>
              </w:rPr>
            </w:pPr>
            <w:r>
              <w:rPr>
                <w:rFonts w:ascii="Times New Roman" w:hAnsi="Times New Roman" w:cs="Times New Roman"/>
              </w:rPr>
              <w:t>（1）污水排放标准：</w:t>
            </w:r>
            <w:r>
              <w:rPr>
                <w:rFonts w:hint="eastAsia" w:ascii="Times New Roman" w:hAnsi="Times New Roman" w:cs="Times New Roman"/>
              </w:rPr>
              <w:t>本项目生产废水回用于生产，生活污水经化粪池处理后用作农肥，不外排，故本环评不对废水进行达标评价。</w:t>
            </w:r>
          </w:p>
          <w:p>
            <w:pPr>
              <w:pStyle w:val="4"/>
              <w:spacing w:after="0"/>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废气</w:t>
            </w:r>
            <w:r>
              <w:rPr>
                <w:rFonts w:ascii="Times New Roman" w:hAnsi="Times New Roman" w:cs="Times New Roman"/>
              </w:rPr>
              <w:t>排放标准：</w:t>
            </w:r>
            <w:r>
              <w:rPr>
                <w:rFonts w:hint="eastAsia" w:ascii="Times New Roman" w:hAnsi="Times New Roman" w:cs="Times New Roman"/>
              </w:rPr>
              <w:t>施工期废气执行《大气污染物综合排放标准》（GB16297-1996）表2无组织排放监控浓度限值标准；营运期废气执行</w:t>
            </w:r>
            <w:r>
              <w:rPr>
                <w:rFonts w:ascii="Times New Roman" w:hAnsi="Times New Roman" w:cs="Times New Roman"/>
              </w:rPr>
              <w:t>《</w:t>
            </w:r>
            <w:r>
              <w:rPr>
                <w:rFonts w:hint="eastAsia" w:ascii="Times New Roman" w:hAnsi="Times New Roman" w:cs="Times New Roman"/>
              </w:rPr>
              <w:t>大气污染物综合排放标准</w:t>
            </w:r>
            <w:r>
              <w:rPr>
                <w:rFonts w:ascii="Times New Roman" w:hAnsi="Times New Roman" w:cs="Times New Roman"/>
              </w:rPr>
              <w:t>》（GB</w:t>
            </w:r>
            <w:r>
              <w:rPr>
                <w:rFonts w:hint="eastAsia" w:ascii="Times New Roman" w:hAnsi="Times New Roman" w:cs="Times New Roman"/>
              </w:rPr>
              <w:t>16297</w:t>
            </w:r>
            <w:r>
              <w:rPr>
                <w:rFonts w:ascii="Times New Roman" w:hAnsi="Times New Roman" w:cs="Times New Roman"/>
              </w:rPr>
              <w:t>-</w:t>
            </w:r>
            <w:r>
              <w:rPr>
                <w:rFonts w:hint="eastAsia" w:ascii="Times New Roman" w:hAnsi="Times New Roman" w:cs="Times New Roman"/>
              </w:rPr>
              <w:t>1996</w:t>
            </w:r>
            <w:r>
              <w:rPr>
                <w:rFonts w:ascii="Times New Roman" w:hAnsi="Times New Roman" w:cs="Times New Roman"/>
              </w:rPr>
              <w:t>）</w:t>
            </w:r>
            <w:r>
              <w:rPr>
                <w:rFonts w:hint="eastAsia" w:ascii="Times New Roman" w:hAnsi="Times New Roman" w:cs="Times New Roman"/>
              </w:rPr>
              <w:t>表2中</w:t>
            </w:r>
            <w:r>
              <w:rPr>
                <w:rFonts w:ascii="Times New Roman" w:hAnsi="Times New Roman" w:cs="Times New Roman"/>
              </w:rPr>
              <w:t>二级标准</w:t>
            </w:r>
            <w:r>
              <w:rPr>
                <w:rFonts w:hint="eastAsia" w:ascii="Times New Roman" w:hAnsi="Times New Roman" w:cs="Times New Roman"/>
              </w:rPr>
              <w:t>和无组织排放监控浓度限值标准。标准限值详见</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REF _Ref492886028 \h</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hint="eastAsia" w:ascii="Times New Roman" w:hAnsi="Times New Roman" w:cs="Times New Roman"/>
              </w:rPr>
              <w:t>表4-</w:t>
            </w:r>
            <w:r>
              <w:rPr>
                <w:rFonts w:ascii="Times New Roman" w:hAnsi="Times New Roman" w:cs="Times New Roman"/>
              </w:rPr>
              <w:t>3</w:t>
            </w:r>
            <w:r>
              <w:rPr>
                <w:rFonts w:ascii="Times New Roman" w:hAnsi="Times New Roman" w:cs="Times New Roman"/>
              </w:rPr>
              <w:fldChar w:fldCharType="end"/>
            </w:r>
            <w:r>
              <w:rPr>
                <w:rFonts w:hint="eastAsia" w:ascii="Times New Roman" w:hAnsi="Times New Roman" w:cs="Times New Roman"/>
              </w:rPr>
              <w:t>。</w:t>
            </w:r>
          </w:p>
          <w:p>
            <w:pPr>
              <w:pStyle w:val="38"/>
              <w:spacing w:before="156"/>
              <w:rPr>
                <w:color w:val="auto"/>
              </w:rPr>
            </w:pPr>
            <w:bookmarkStart w:id="43" w:name="_Ref492886028"/>
            <w:r>
              <w:rPr>
                <w:rFonts w:hint="eastAsia"/>
                <w:color w:val="auto"/>
              </w:rPr>
              <w:t>表4-</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3</w:t>
            </w:r>
            <w:r>
              <w:rPr>
                <w:color w:val="auto"/>
              </w:rPr>
              <w:fldChar w:fldCharType="end"/>
            </w:r>
            <w:bookmarkEnd w:id="43"/>
            <w:r>
              <w:rPr>
                <w:color w:val="auto"/>
              </w:rPr>
              <w:t xml:space="preserve">  </w:t>
            </w:r>
            <w:r>
              <w:rPr>
                <w:rFonts w:hint="eastAsia"/>
                <w:color w:val="auto"/>
              </w:rPr>
              <w:t xml:space="preserve"> 大气污染物执行标准</w:t>
            </w:r>
          </w:p>
          <w:tbl>
            <w:tblPr>
              <w:tblStyle w:val="25"/>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285"/>
              <w:gridCol w:w="1267"/>
              <w:gridCol w:w="1276"/>
              <w:gridCol w:w="127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47" w:type="dxa"/>
                  <w:vMerge w:val="restart"/>
                  <w:vAlign w:val="center"/>
                </w:tcPr>
                <w:p>
                  <w:pPr>
                    <w:jc w:val="center"/>
                    <w:rPr>
                      <w:rFonts w:ascii="Times New Roman" w:hAnsi="Times New Roman" w:eastAsia="宋体" w:cs="Times New Roman"/>
                      <w:b/>
                      <w:bCs/>
                      <w:szCs w:val="21"/>
                    </w:rPr>
                  </w:pPr>
                  <w:r>
                    <w:rPr>
                      <w:rFonts w:hint="eastAsia" w:ascii="Times New Roman" w:hAnsi="Times New Roman" w:cs="Times New Roman"/>
                      <w:b/>
                      <w:bCs/>
                    </w:rPr>
                    <w:t>类型</w:t>
                  </w:r>
                </w:p>
              </w:tc>
              <w:tc>
                <w:tcPr>
                  <w:tcW w:w="1285" w:type="dxa"/>
                  <w:vMerge w:val="restart"/>
                  <w:vAlign w:val="center"/>
                </w:tcPr>
                <w:p>
                  <w:pPr>
                    <w:jc w:val="center"/>
                    <w:rPr>
                      <w:rFonts w:ascii="Times New Roman" w:hAnsi="Times New Roman" w:cs="Times New Roman"/>
                      <w:b/>
                      <w:bCs/>
                    </w:rPr>
                  </w:pPr>
                  <w:r>
                    <w:rPr>
                      <w:rFonts w:ascii="Times New Roman" w:hAnsi="Times New Roman" w:cs="Times New Roman"/>
                      <w:b/>
                      <w:bCs/>
                    </w:rPr>
                    <w:t>污染物名称</w:t>
                  </w:r>
                </w:p>
              </w:tc>
              <w:tc>
                <w:tcPr>
                  <w:tcW w:w="3818" w:type="dxa"/>
                  <w:gridSpan w:val="3"/>
                  <w:vAlign w:val="center"/>
                </w:tcPr>
                <w:p>
                  <w:pPr>
                    <w:jc w:val="center"/>
                    <w:rPr>
                      <w:rFonts w:ascii="Times New Roman" w:hAnsi="Times New Roman" w:cs="Times New Roman"/>
                      <w:b/>
                      <w:bCs/>
                    </w:rPr>
                  </w:pPr>
                  <w:r>
                    <w:rPr>
                      <w:rFonts w:hint="eastAsia" w:ascii="Times New Roman" w:hAnsi="Times New Roman" w:cs="Times New Roman"/>
                      <w:b/>
                      <w:bCs/>
                    </w:rPr>
                    <w:t>有组织排放</w:t>
                  </w:r>
                </w:p>
              </w:tc>
              <w:tc>
                <w:tcPr>
                  <w:tcW w:w="2268" w:type="dxa"/>
                  <w:vMerge w:val="restart"/>
                  <w:vAlign w:val="center"/>
                </w:tcPr>
                <w:p>
                  <w:pPr>
                    <w:jc w:val="center"/>
                    <w:rPr>
                      <w:rFonts w:ascii="Times New Roman" w:hAnsi="Times New Roman" w:cs="Times New Roman"/>
                      <w:b/>
                      <w:bCs/>
                    </w:rPr>
                  </w:pPr>
                  <w:r>
                    <w:rPr>
                      <w:rFonts w:hint="eastAsia" w:ascii="Times New Roman" w:hAnsi="Times New Roman" w:cs="Times New Roman"/>
                      <w:b/>
                      <w:bCs/>
                    </w:rPr>
                    <w:t>无组织排放监控浓度限值（</w:t>
                  </w:r>
                  <w:r>
                    <w:rPr>
                      <w:rFonts w:hint="eastAsia" w:ascii="Times New Roman" w:hAnsi="Times New Roman" w:cs="Times New Roman"/>
                      <w:b/>
                    </w:rPr>
                    <w:t>mg/m</w:t>
                  </w:r>
                  <w:r>
                    <w:rPr>
                      <w:rFonts w:ascii="Times New Roman" w:hAnsi="Times New Roman" w:cs="Times New Roman"/>
                      <w:b/>
                      <w:vertAlign w:val="superscript"/>
                    </w:rPr>
                    <w:t>3</w:t>
                  </w:r>
                  <w:r>
                    <w:rPr>
                      <w:rFonts w:hint="eastAsia" w:ascii="Times New Roman" w:hAnsi="Times New Roman"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47" w:type="dxa"/>
                  <w:vMerge w:val="continue"/>
                  <w:vAlign w:val="center"/>
                </w:tcPr>
                <w:p>
                  <w:pPr>
                    <w:jc w:val="center"/>
                    <w:rPr>
                      <w:rFonts w:ascii="Times New Roman" w:hAnsi="Times New Roman" w:cs="Times New Roman"/>
                      <w:b/>
                      <w:bCs/>
                    </w:rPr>
                  </w:pPr>
                </w:p>
              </w:tc>
              <w:tc>
                <w:tcPr>
                  <w:tcW w:w="1285" w:type="dxa"/>
                  <w:vMerge w:val="continue"/>
                  <w:vAlign w:val="center"/>
                </w:tcPr>
                <w:p>
                  <w:pPr>
                    <w:jc w:val="center"/>
                    <w:rPr>
                      <w:rFonts w:ascii="Times New Roman" w:hAnsi="Times New Roman" w:cs="Times New Roman"/>
                      <w:b/>
                      <w:bCs/>
                    </w:rPr>
                  </w:pPr>
                </w:p>
              </w:tc>
              <w:tc>
                <w:tcPr>
                  <w:tcW w:w="1267" w:type="dxa"/>
                  <w:vAlign w:val="center"/>
                </w:tcPr>
                <w:p>
                  <w:pPr>
                    <w:jc w:val="center"/>
                    <w:rPr>
                      <w:rFonts w:ascii="Times New Roman" w:hAnsi="Times New Roman" w:cs="Times New Roman"/>
                      <w:b/>
                      <w:bCs/>
                    </w:rPr>
                  </w:pPr>
                  <w:r>
                    <w:rPr>
                      <w:rFonts w:hint="eastAsia" w:ascii="Times New Roman" w:hAnsi="Times New Roman" w:cs="Times New Roman"/>
                      <w:b/>
                      <w:bCs/>
                    </w:rPr>
                    <w:t>最高允许排放浓度（</w:t>
                  </w:r>
                  <w:r>
                    <w:rPr>
                      <w:rFonts w:hint="eastAsia" w:ascii="Times New Roman" w:hAnsi="Times New Roman" w:cs="Times New Roman"/>
                      <w:b/>
                    </w:rPr>
                    <w:t>mg/m</w:t>
                  </w:r>
                  <w:r>
                    <w:rPr>
                      <w:rFonts w:ascii="Times New Roman" w:hAnsi="Times New Roman" w:cs="Times New Roman"/>
                      <w:b/>
                      <w:vertAlign w:val="superscript"/>
                    </w:rPr>
                    <w:t>3</w:t>
                  </w:r>
                  <w:r>
                    <w:rPr>
                      <w:rFonts w:hint="eastAsia" w:ascii="Times New Roman" w:hAnsi="Times New Roman" w:cs="Times New Roman"/>
                      <w:b/>
                      <w:bCs/>
                    </w:rPr>
                    <w:t>）</w:t>
                  </w:r>
                </w:p>
              </w:tc>
              <w:tc>
                <w:tcPr>
                  <w:tcW w:w="1276" w:type="dxa"/>
                  <w:vAlign w:val="center"/>
                </w:tcPr>
                <w:p>
                  <w:pPr>
                    <w:jc w:val="center"/>
                    <w:rPr>
                      <w:rFonts w:ascii="Times New Roman" w:hAnsi="Times New Roman" w:cs="Times New Roman"/>
                      <w:b/>
                      <w:bCs/>
                    </w:rPr>
                  </w:pPr>
                  <w:r>
                    <w:rPr>
                      <w:rFonts w:hint="eastAsia" w:ascii="Times New Roman" w:hAnsi="Times New Roman" w:cs="Times New Roman"/>
                      <w:b/>
                      <w:bCs/>
                    </w:rPr>
                    <w:t>排气筒高度（m）</w:t>
                  </w:r>
                </w:p>
              </w:tc>
              <w:tc>
                <w:tcPr>
                  <w:tcW w:w="1275" w:type="dxa"/>
                  <w:vAlign w:val="center"/>
                </w:tcPr>
                <w:p>
                  <w:pPr>
                    <w:jc w:val="center"/>
                    <w:rPr>
                      <w:rFonts w:ascii="Times New Roman" w:hAnsi="Times New Roman" w:cs="Times New Roman"/>
                      <w:b/>
                      <w:bCs/>
                    </w:rPr>
                  </w:pPr>
                  <w:r>
                    <w:rPr>
                      <w:rFonts w:hint="eastAsia" w:ascii="Times New Roman" w:hAnsi="Times New Roman" w:cs="Times New Roman"/>
                      <w:b/>
                      <w:bCs/>
                    </w:rPr>
                    <w:t>最高允许排放速率（kg/h）</w:t>
                  </w:r>
                </w:p>
              </w:tc>
              <w:tc>
                <w:tcPr>
                  <w:tcW w:w="2268" w:type="dxa"/>
                  <w:vMerge w:val="continue"/>
                  <w:vAlign w:val="center"/>
                </w:tcPr>
                <w:p>
                  <w:pPr>
                    <w:jc w:val="center"/>
                    <w:rPr>
                      <w:rFonts w:ascii="Times New Roman" w:hAnsi="Times New Roman"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4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施工期废气</w:t>
                  </w:r>
                </w:p>
              </w:tc>
              <w:tc>
                <w:tcPr>
                  <w:tcW w:w="1285" w:type="dxa"/>
                  <w:vAlign w:val="center"/>
                </w:tcPr>
                <w:p>
                  <w:pPr>
                    <w:jc w:val="center"/>
                    <w:rPr>
                      <w:rFonts w:ascii="Times New Roman" w:hAnsi="Times New Roman" w:cs="Times New Roman"/>
                    </w:rPr>
                  </w:pPr>
                  <w:r>
                    <w:rPr>
                      <w:rFonts w:hint="eastAsia" w:ascii="Times New Roman" w:hAnsi="Times New Roman" w:cs="Times New Roman"/>
                    </w:rPr>
                    <w:t>颗粒物</w:t>
                  </w:r>
                </w:p>
              </w:tc>
              <w:tc>
                <w:tcPr>
                  <w:tcW w:w="12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6" w:type="dxa"/>
                  <w:vAlign w:val="center"/>
                </w:tcPr>
                <w:p>
                  <w:pPr>
                    <w:jc w:val="center"/>
                    <w:rPr>
                      <w:rFonts w:ascii="Times New Roman" w:hAnsi="Times New Roman" w:cs="Times New Roman"/>
                    </w:rPr>
                  </w:pPr>
                  <w:r>
                    <w:rPr>
                      <w:rFonts w:hint="eastAsia" w:ascii="Times New Roman" w:hAnsi="Times New Roman" w:cs="Times New Roman"/>
                    </w:rPr>
                    <w:t>/</w:t>
                  </w:r>
                </w:p>
              </w:tc>
              <w:tc>
                <w:tcPr>
                  <w:tcW w:w="1275" w:type="dxa"/>
                  <w:vAlign w:val="center"/>
                </w:tcPr>
                <w:p>
                  <w:pPr>
                    <w:jc w:val="center"/>
                    <w:rPr>
                      <w:rFonts w:ascii="Times New Roman" w:hAnsi="Times New Roman" w:cs="Times New Roman"/>
                    </w:rPr>
                  </w:pPr>
                  <w:r>
                    <w:rPr>
                      <w:rFonts w:hint="eastAsia" w:ascii="Times New Roman" w:hAnsi="Times New Roman" w:cs="Times New Roman"/>
                    </w:rPr>
                    <w:t>/</w:t>
                  </w:r>
                </w:p>
              </w:tc>
              <w:tc>
                <w:tcPr>
                  <w:tcW w:w="2268" w:type="dxa"/>
                  <w:vAlign w:val="center"/>
                </w:tcPr>
                <w:p>
                  <w:pPr>
                    <w:jc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4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营运期废气</w:t>
                  </w:r>
                </w:p>
              </w:tc>
              <w:tc>
                <w:tcPr>
                  <w:tcW w:w="1285" w:type="dxa"/>
                  <w:vAlign w:val="center"/>
                </w:tcPr>
                <w:p>
                  <w:pPr>
                    <w:jc w:val="center"/>
                    <w:rPr>
                      <w:rFonts w:ascii="Times New Roman" w:hAnsi="Times New Roman" w:cs="Times New Roman"/>
                    </w:rPr>
                  </w:pPr>
                  <w:r>
                    <w:rPr>
                      <w:rFonts w:hint="eastAsia" w:ascii="Times New Roman" w:hAnsi="Times New Roman" w:cs="Times New Roman"/>
                    </w:rPr>
                    <w:t>颗粒物</w:t>
                  </w:r>
                </w:p>
              </w:tc>
              <w:tc>
                <w:tcPr>
                  <w:tcW w:w="12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120</w:t>
                  </w:r>
                </w:p>
              </w:tc>
              <w:tc>
                <w:tcPr>
                  <w:tcW w:w="1276" w:type="dxa"/>
                  <w:vAlign w:val="center"/>
                </w:tcPr>
                <w:p>
                  <w:pPr>
                    <w:jc w:val="center"/>
                    <w:rPr>
                      <w:rFonts w:ascii="Times New Roman" w:hAnsi="Times New Roman" w:cs="Times New Roman"/>
                    </w:rPr>
                  </w:pPr>
                  <w:r>
                    <w:rPr>
                      <w:rFonts w:hint="eastAsia" w:ascii="Times New Roman" w:hAnsi="Times New Roman" w:cs="Times New Roman"/>
                    </w:rPr>
                    <w:t>15</w:t>
                  </w:r>
                </w:p>
              </w:tc>
              <w:tc>
                <w:tcPr>
                  <w:tcW w:w="1275" w:type="dxa"/>
                  <w:vAlign w:val="center"/>
                </w:tcPr>
                <w:p>
                  <w:pPr>
                    <w:jc w:val="center"/>
                    <w:rPr>
                      <w:rFonts w:ascii="Times New Roman" w:hAnsi="Times New Roman" w:cs="Times New Roman"/>
                    </w:rPr>
                  </w:pPr>
                  <w:r>
                    <w:rPr>
                      <w:rFonts w:hint="eastAsia" w:ascii="Times New Roman" w:hAnsi="Times New Roman" w:cs="Times New Roman"/>
                    </w:rPr>
                    <w:t>3.5</w:t>
                  </w:r>
                </w:p>
              </w:tc>
              <w:tc>
                <w:tcPr>
                  <w:tcW w:w="2268" w:type="dxa"/>
                  <w:vAlign w:val="center"/>
                </w:tcPr>
                <w:p>
                  <w:pPr>
                    <w:jc w:val="center"/>
                    <w:rPr>
                      <w:rFonts w:ascii="Times New Roman" w:hAnsi="Times New Roman" w:cs="Times New Roman"/>
                    </w:rPr>
                  </w:pPr>
                  <w:r>
                    <w:rPr>
                      <w:rFonts w:hint="eastAsia" w:ascii="Times New Roman" w:hAnsi="Times New Roman" w:cs="Times New Roman"/>
                    </w:rPr>
                    <w:t>1.0</w:t>
                  </w:r>
                </w:p>
              </w:tc>
            </w:tr>
          </w:tbl>
          <w:p>
            <w:pPr>
              <w:pStyle w:val="4"/>
              <w:spacing w:after="0"/>
              <w:ind w:firstLine="480"/>
              <w:rPr>
                <w:rFonts w:ascii="Times New Roman" w:hAnsi="Times New Roman" w:cs="Times New Roman"/>
              </w:rPr>
            </w:pPr>
            <w:r>
              <w:rPr>
                <w:rFonts w:ascii="Times New Roman" w:hAnsi="Times New Roman" w:cs="Times New Roman"/>
              </w:rPr>
              <w:t>（3）噪声控制标准：</w:t>
            </w:r>
            <w:r>
              <w:rPr>
                <w:rFonts w:hint="eastAsia" w:ascii="Times New Roman" w:hAnsi="Times New Roman" w:cs="Times New Roman"/>
              </w:rPr>
              <w:t>施工期执行《建筑施工场界环境噪声排放标准》（</w:t>
            </w:r>
            <w:r>
              <w:rPr>
                <w:rFonts w:ascii="Times New Roman" w:hAnsi="Times New Roman" w:cs="Times New Roman"/>
              </w:rPr>
              <w:t>GB12523-2011</w:t>
            </w:r>
            <w:r>
              <w:rPr>
                <w:rFonts w:hint="eastAsia" w:ascii="Times New Roman" w:hAnsi="Times New Roman" w:cs="Times New Roman"/>
              </w:rPr>
              <w:t>）；</w:t>
            </w:r>
            <w:r>
              <w:rPr>
                <w:rFonts w:ascii="Times New Roman" w:hAnsi="Times New Roman" w:cs="Times New Roman"/>
              </w:rPr>
              <w:t>运营期执行《工业企业厂界环境噪声排放标准》（GB 12348-2008）</w:t>
            </w:r>
            <w:r>
              <w:rPr>
                <w:rFonts w:hint="eastAsia" w:ascii="Times New Roman" w:hAnsi="Times New Roman" w:cs="Times New Roman"/>
              </w:rPr>
              <w:t>2</w:t>
            </w:r>
            <w:r>
              <w:rPr>
                <w:rFonts w:ascii="Times New Roman" w:hAnsi="Times New Roman" w:cs="Times New Roman"/>
              </w:rPr>
              <w:t>类标准</w:t>
            </w:r>
            <w:r>
              <w:rPr>
                <w:rFonts w:hint="eastAsia" w:ascii="Times New Roman" w:hAnsi="Times New Roman" w:cs="Times New Roman"/>
              </w:rPr>
              <w:t>，标准限值见</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REF _Ref492886033 \h</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hint="eastAsia" w:ascii="Times New Roman" w:hAnsi="Times New Roman" w:cs="Times New Roman"/>
              </w:rPr>
              <w:t>表4-</w:t>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w:t>
            </w:r>
          </w:p>
          <w:p>
            <w:pPr>
              <w:pStyle w:val="38"/>
              <w:spacing w:before="156"/>
              <w:rPr>
                <w:color w:val="auto"/>
              </w:rPr>
            </w:pPr>
            <w:bookmarkStart w:id="44" w:name="_Ref492886033"/>
            <w:r>
              <w:rPr>
                <w:rFonts w:hint="eastAsia"/>
                <w:color w:val="auto"/>
              </w:rPr>
              <w:t>表4-</w:t>
            </w:r>
            <w:r>
              <w:rPr>
                <w:color w:val="auto"/>
              </w:rPr>
              <w:fldChar w:fldCharType="begin"/>
            </w:r>
            <w:r>
              <w:rPr>
                <w:color w:val="auto"/>
              </w:rPr>
              <w:instrText xml:space="preserve"> </w:instrText>
            </w:r>
            <w:r>
              <w:rPr>
                <w:rFonts w:hint="eastAsia"/>
                <w:color w:val="auto"/>
              </w:rPr>
              <w:instrText xml:space="preserve">SEQ 表4- \* ARABIC</w:instrText>
            </w:r>
            <w:r>
              <w:rPr>
                <w:color w:val="auto"/>
              </w:rPr>
              <w:instrText xml:space="preserve"> </w:instrText>
            </w:r>
            <w:r>
              <w:rPr>
                <w:color w:val="auto"/>
              </w:rPr>
              <w:fldChar w:fldCharType="separate"/>
            </w:r>
            <w:r>
              <w:rPr>
                <w:color w:val="auto"/>
              </w:rPr>
              <w:t>4</w:t>
            </w:r>
            <w:r>
              <w:rPr>
                <w:color w:val="auto"/>
              </w:rPr>
              <w:fldChar w:fldCharType="end"/>
            </w:r>
            <w:bookmarkEnd w:id="44"/>
            <w:r>
              <w:rPr>
                <w:color w:val="auto"/>
              </w:rPr>
              <w:t xml:space="preserve">  </w:t>
            </w:r>
            <w:r>
              <w:rPr>
                <w:rFonts w:hint="eastAsia"/>
                <w:color w:val="auto"/>
              </w:rPr>
              <w:t xml:space="preserve"> 噪声执行</w:t>
            </w:r>
            <w:r>
              <w:rPr>
                <w:color w:val="auto"/>
              </w:rPr>
              <w:t>标准</w:t>
            </w:r>
          </w:p>
          <w:tbl>
            <w:tblPr>
              <w:tblStyle w:val="25"/>
              <w:tblW w:w="8718" w:type="dxa"/>
              <w:tblInd w:w="0" w:type="dxa"/>
              <w:tblLayout w:type="fixed"/>
              <w:tblCellMar>
                <w:top w:w="0" w:type="dxa"/>
                <w:left w:w="108" w:type="dxa"/>
                <w:bottom w:w="0" w:type="dxa"/>
                <w:right w:w="108" w:type="dxa"/>
              </w:tblCellMar>
            </w:tblPr>
            <w:tblGrid>
              <w:gridCol w:w="1900"/>
              <w:gridCol w:w="1645"/>
              <w:gridCol w:w="1843"/>
              <w:gridCol w:w="3330"/>
            </w:tblGrid>
            <w:tr>
              <w:tblPrEx>
                <w:tblLayout w:type="fixed"/>
                <w:tblCellMar>
                  <w:top w:w="0" w:type="dxa"/>
                  <w:left w:w="108" w:type="dxa"/>
                  <w:bottom w:w="0" w:type="dxa"/>
                  <w:right w:w="108" w:type="dxa"/>
                </w:tblCellMar>
              </w:tblPrEx>
              <w:trPr>
                <w:cantSplit/>
                <w:trHeight w:val="340" w:hRule="atLeast"/>
              </w:trPr>
              <w:tc>
                <w:tcPr>
                  <w:tcW w:w="190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b/>
                    </w:rPr>
                  </w:pPr>
                  <w:r>
                    <w:rPr>
                      <w:rFonts w:ascii="Times New Roman" w:hAnsi="Times New Roman" w:cs="Times New Roman"/>
                      <w:b/>
                    </w:rPr>
                    <w:t>类别</w:t>
                  </w:r>
                </w:p>
              </w:tc>
              <w:tc>
                <w:tcPr>
                  <w:tcW w:w="3488"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rPr>
                  </w:pPr>
                  <w:r>
                    <w:rPr>
                      <w:rFonts w:hint="eastAsia" w:ascii="Times New Roman" w:hAnsi="Times New Roman" w:cs="Times New Roman"/>
                      <w:b/>
                    </w:rPr>
                    <w:t>标准限值</w:t>
                  </w:r>
                </w:p>
              </w:tc>
              <w:tc>
                <w:tcPr>
                  <w:tcW w:w="3330" w:type="dxa"/>
                  <w:vMerge w:val="restart"/>
                  <w:tcBorders>
                    <w:top w:val="single" w:color="auto" w:sz="4" w:space="0"/>
                    <w:left w:val="nil"/>
                    <w:right w:val="single" w:color="auto"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标准限值来源</w:t>
                  </w:r>
                </w:p>
              </w:tc>
            </w:tr>
            <w:tr>
              <w:tblPrEx>
                <w:tblLayout w:type="fixed"/>
                <w:tblCellMar>
                  <w:top w:w="0" w:type="dxa"/>
                  <w:left w:w="108" w:type="dxa"/>
                  <w:bottom w:w="0" w:type="dxa"/>
                  <w:right w:w="108" w:type="dxa"/>
                </w:tblCellMar>
              </w:tblPrEx>
              <w:trPr>
                <w:cantSplit/>
                <w:trHeight w:val="340" w:hRule="atLeast"/>
              </w:trPr>
              <w:tc>
                <w:tcPr>
                  <w:tcW w:w="1900"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昼间</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夜间</w:t>
                  </w:r>
                </w:p>
              </w:tc>
              <w:tc>
                <w:tcPr>
                  <w:tcW w:w="3330" w:type="dxa"/>
                  <w:vMerge w:val="continue"/>
                  <w:tcBorders>
                    <w:left w:val="nil"/>
                    <w:bottom w:val="single" w:color="auto" w:sz="4" w:space="0"/>
                    <w:right w:val="single" w:color="auto" w:sz="4" w:space="0"/>
                  </w:tcBorders>
                  <w:vAlign w:val="center"/>
                </w:tcPr>
                <w:p>
                  <w:pPr>
                    <w:jc w:val="center"/>
                    <w:rPr>
                      <w:rFonts w:ascii="Times New Roman" w:hAnsi="Times New Roman" w:eastAsia="宋体" w:cs="Times New Roman"/>
                      <w:b/>
                      <w:szCs w:val="21"/>
                    </w:rPr>
                  </w:pPr>
                </w:p>
              </w:tc>
            </w:tr>
            <w:tr>
              <w:tblPrEx>
                <w:tblLayout w:type="fixed"/>
                <w:tblCellMar>
                  <w:top w:w="0" w:type="dxa"/>
                  <w:left w:w="108" w:type="dxa"/>
                  <w:bottom w:w="0" w:type="dxa"/>
                  <w:right w:w="108" w:type="dxa"/>
                </w:tblCellMar>
              </w:tblPrEx>
              <w:trPr>
                <w:cantSplit/>
                <w:trHeight w:val="340" w:hRule="atLeast"/>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施工期噪声</w:t>
                  </w:r>
                </w:p>
              </w:tc>
              <w:tc>
                <w:tcPr>
                  <w:tcW w:w="164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70</w:t>
                  </w:r>
                  <w:r>
                    <w:rPr>
                      <w:rFonts w:ascii="Times New Roman" w:hAnsi="Times New Roman" w:cs="Times New Roman"/>
                    </w:rPr>
                    <w:t>dB（A）</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5</w:t>
                  </w:r>
                  <w:r>
                    <w:rPr>
                      <w:rFonts w:hint="eastAsia" w:ascii="Times New Roman" w:hAnsi="Times New Roman" w:cs="Times New Roman"/>
                    </w:rPr>
                    <w:t>5</w:t>
                  </w:r>
                  <w:r>
                    <w:rPr>
                      <w:rFonts w:ascii="Times New Roman" w:hAnsi="Times New Roman" w:cs="Times New Roman"/>
                    </w:rPr>
                    <w:t>dB（A）</w:t>
                  </w:r>
                </w:p>
              </w:tc>
              <w:tc>
                <w:tcPr>
                  <w:tcW w:w="333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《建筑施工场界环境噪声排放标准》（GB 12523-2011）表1标准</w:t>
                  </w:r>
                </w:p>
              </w:tc>
            </w:tr>
            <w:tr>
              <w:tblPrEx>
                <w:tblLayout w:type="fixed"/>
                <w:tblCellMar>
                  <w:top w:w="0" w:type="dxa"/>
                  <w:left w:w="108" w:type="dxa"/>
                  <w:bottom w:w="0" w:type="dxa"/>
                  <w:right w:w="108" w:type="dxa"/>
                </w:tblCellMar>
              </w:tblPrEx>
              <w:trPr>
                <w:cantSplit/>
                <w:trHeight w:val="340" w:hRule="atLeast"/>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营运期噪声</w:t>
                  </w:r>
                </w:p>
              </w:tc>
              <w:tc>
                <w:tcPr>
                  <w:tcW w:w="1645"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60</w:t>
                  </w:r>
                  <w:r>
                    <w:rPr>
                      <w:rFonts w:ascii="Times New Roman" w:hAnsi="Times New Roman" w:cs="Times New Roman"/>
                    </w:rPr>
                    <w:t>dB（A）</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50</w:t>
                  </w:r>
                  <w:r>
                    <w:rPr>
                      <w:rFonts w:ascii="Times New Roman" w:hAnsi="Times New Roman" w:cs="Times New Roman"/>
                    </w:rPr>
                    <w:t>dB（A）</w:t>
                  </w:r>
                </w:p>
              </w:tc>
              <w:tc>
                <w:tcPr>
                  <w:tcW w:w="333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《工业企业厂界环境噪声排放标准》（GB 12348-2008）2类标准</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（4）固体废物</w:t>
            </w:r>
            <w:r>
              <w:rPr>
                <w:rFonts w:hint="eastAsia" w:ascii="Times New Roman" w:hAnsi="Times New Roman" w:cs="Times New Roman"/>
                <w:sz w:val="24"/>
              </w:rPr>
              <w:t>控制标准</w:t>
            </w:r>
            <w:r>
              <w:rPr>
                <w:rFonts w:ascii="Times New Roman" w:hAnsi="Times New Roman" w:cs="Times New Roman"/>
                <w:sz w:val="24"/>
              </w:rPr>
              <w:t>：生活垃圾执行《</w:t>
            </w:r>
            <w:r>
              <w:rPr>
                <w:rFonts w:hint="eastAsia" w:ascii="Times New Roman" w:hAnsi="Times New Roman" w:cs="Times New Roman"/>
                <w:sz w:val="24"/>
              </w:rPr>
              <w:t>生活垃圾填埋场污染控制标准</w:t>
            </w:r>
            <w:r>
              <w:rPr>
                <w:rFonts w:ascii="Times New Roman" w:hAnsi="Times New Roman" w:cs="Times New Roman"/>
                <w:sz w:val="24"/>
              </w:rPr>
              <w:t>》（</w:t>
            </w:r>
            <w:r>
              <w:rPr>
                <w:rFonts w:hint="eastAsia" w:ascii="Times New Roman" w:hAnsi="Times New Roman" w:cs="Times New Roman"/>
                <w:sz w:val="24"/>
              </w:rPr>
              <w:t>GB16889-2008</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一般工业固体废物执行《一般工业固体废物贮存、处置场污染控制标准》（GB 18599-2001）及其2013年修改单要求</w:t>
            </w:r>
            <w:r>
              <w:rPr>
                <w:rFonts w:hint="eastAsia" w:ascii="Times New Roman" w:hAnsi="Times New Roman" w:cs="Times New Roman"/>
                <w:sz w:val="24"/>
              </w:rPr>
              <w:t>；危险废物执行《危险废物贮存污染控制标准》（GB18597-2001）及其2013修改单中要求。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96" w:hRule="atLeast"/>
          <w:jc w:val="center"/>
        </w:trPr>
        <w:tc>
          <w:tcPr>
            <w:tcW w:w="530" w:type="dxa"/>
            <w:vAlign w:val="center"/>
          </w:tcPr>
          <w:p>
            <w:pPr>
              <w:spacing w:line="520" w:lineRule="exact"/>
              <w:jc w:val="center"/>
              <w:rPr>
                <w:rFonts w:ascii="Times New Roman" w:hAnsi="Times New Roman" w:cs="Times New Roman"/>
                <w:sz w:val="24"/>
              </w:rPr>
            </w:pPr>
            <w:r>
              <w:rPr>
                <w:rFonts w:ascii="Times New Roman" w:hAnsi="Times New Roman" w:cs="Times New Roman"/>
                <w:sz w:val="24"/>
              </w:rPr>
              <w:t>总</w:t>
            </w:r>
          </w:p>
          <w:p>
            <w:pPr>
              <w:spacing w:line="520" w:lineRule="exact"/>
              <w:jc w:val="center"/>
              <w:rPr>
                <w:rFonts w:ascii="Times New Roman" w:hAnsi="Times New Roman" w:cs="Times New Roman"/>
                <w:sz w:val="24"/>
              </w:rPr>
            </w:pPr>
            <w:r>
              <w:rPr>
                <w:rFonts w:ascii="Times New Roman" w:hAnsi="Times New Roman" w:cs="Times New Roman"/>
                <w:sz w:val="24"/>
              </w:rPr>
              <w:t>量</w:t>
            </w:r>
          </w:p>
          <w:p>
            <w:pPr>
              <w:spacing w:line="520" w:lineRule="exact"/>
              <w:jc w:val="center"/>
              <w:rPr>
                <w:rFonts w:ascii="Times New Roman" w:hAnsi="Times New Roman" w:cs="Times New Roman"/>
                <w:sz w:val="24"/>
              </w:rPr>
            </w:pPr>
            <w:r>
              <w:rPr>
                <w:rFonts w:ascii="Times New Roman" w:hAnsi="Times New Roman" w:cs="Times New Roman"/>
                <w:sz w:val="24"/>
              </w:rPr>
              <w:t>控</w:t>
            </w:r>
          </w:p>
          <w:p>
            <w:pPr>
              <w:spacing w:line="520" w:lineRule="exact"/>
              <w:jc w:val="center"/>
              <w:rPr>
                <w:rFonts w:ascii="Times New Roman" w:hAnsi="Times New Roman" w:cs="Times New Roman"/>
                <w:sz w:val="24"/>
              </w:rPr>
            </w:pPr>
            <w:r>
              <w:rPr>
                <w:rFonts w:ascii="Times New Roman" w:hAnsi="Times New Roman" w:cs="Times New Roman"/>
                <w:sz w:val="24"/>
              </w:rPr>
              <w:t>制</w:t>
            </w:r>
          </w:p>
          <w:p>
            <w:pPr>
              <w:spacing w:line="520" w:lineRule="exact"/>
              <w:jc w:val="center"/>
              <w:rPr>
                <w:rFonts w:ascii="Times New Roman" w:hAnsi="Times New Roman" w:cs="Times New Roman"/>
                <w:sz w:val="24"/>
              </w:rPr>
            </w:pPr>
            <w:r>
              <w:rPr>
                <w:rFonts w:ascii="Times New Roman" w:hAnsi="Times New Roman" w:cs="Times New Roman"/>
                <w:sz w:val="24"/>
              </w:rPr>
              <w:t>指</w:t>
            </w:r>
          </w:p>
          <w:p>
            <w:pPr>
              <w:spacing w:line="520" w:lineRule="exact"/>
              <w:jc w:val="center"/>
              <w:rPr>
                <w:rFonts w:ascii="Times New Roman" w:hAnsi="Times New Roman" w:cs="Times New Roman"/>
                <w:sz w:val="24"/>
              </w:rPr>
            </w:pPr>
            <w:r>
              <w:rPr>
                <w:rFonts w:ascii="Times New Roman" w:hAnsi="Times New Roman" w:cs="Times New Roman"/>
                <w:sz w:val="24"/>
              </w:rPr>
              <w:t>标</w:t>
            </w:r>
          </w:p>
        </w:tc>
        <w:tc>
          <w:tcPr>
            <w:tcW w:w="9118" w:type="dxa"/>
            <w:vAlign w:val="center"/>
          </w:tcPr>
          <w:p>
            <w:pPr>
              <w:snapToGrid w:val="0"/>
              <w:spacing w:line="336" w:lineRule="auto"/>
              <w:ind w:firstLine="480" w:firstLineChars="200"/>
              <w:rPr>
                <w:rFonts w:ascii="Times New Roman" w:hAnsi="Times New Roman" w:cs="Times New Roman"/>
                <w:sz w:val="24"/>
              </w:rPr>
            </w:pPr>
            <w:r>
              <w:rPr>
                <w:rFonts w:hint="eastAsia" w:ascii="Times New Roman" w:hAnsi="Times New Roman" w:cs="Times New Roman"/>
                <w:sz w:val="24"/>
              </w:rPr>
              <w:t>污染物排放实施总量控制是执行环保管理目标责任制的基本原则之一，本环评结合环保管理要求，对项目主要污染物的排放量进行总量控制分析，按照国家和湖南省环保厅的要求，“十三五”期间国家实施总量控制的主要污染物共</w:t>
            </w:r>
            <w:r>
              <w:rPr>
                <w:rFonts w:ascii="Times New Roman" w:hAnsi="Times New Roman" w:cs="Times New Roman"/>
                <w:sz w:val="24"/>
              </w:rPr>
              <w:t>5</w:t>
            </w:r>
            <w:r>
              <w:rPr>
                <w:rFonts w:hint="eastAsia" w:ascii="Times New Roman" w:hAnsi="Times New Roman" w:cs="Times New Roman"/>
                <w:sz w:val="24"/>
              </w:rPr>
              <w:t>项，其中空气污染物</w:t>
            </w:r>
            <w:r>
              <w:rPr>
                <w:rFonts w:ascii="Times New Roman" w:hAnsi="Times New Roman" w:cs="Times New Roman"/>
                <w:sz w:val="24"/>
              </w:rPr>
              <w:t>3</w:t>
            </w:r>
            <w:r>
              <w:rPr>
                <w:rFonts w:hint="eastAsia" w:ascii="Times New Roman" w:hAnsi="Times New Roman" w:cs="Times New Roman"/>
                <w:sz w:val="24"/>
              </w:rPr>
              <w:t>项（</w:t>
            </w:r>
            <w:r>
              <w:rPr>
                <w:rFonts w:ascii="Times New Roman" w:hAnsi="Times New Roman" w:cs="Times New Roman"/>
                <w:sz w:val="24"/>
              </w:rPr>
              <w:t>NOx</w:t>
            </w:r>
            <w:r>
              <w:rPr>
                <w:rFonts w:hint="eastAsia" w:ascii="Times New Roman" w:hAnsi="Times New Roman" w:cs="Times New Roman"/>
                <w:sz w:val="24"/>
              </w:rPr>
              <w:t>、</w:t>
            </w:r>
            <w:r>
              <w:rPr>
                <w:rFonts w:ascii="Times New Roman" w:hAnsi="Times New Roman" w:cs="Times New Roman"/>
                <w:sz w:val="24"/>
              </w:rPr>
              <w:t>SO</w:t>
            </w:r>
            <w:r>
              <w:rPr>
                <w:rFonts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VOCs</w:t>
            </w:r>
            <w:r>
              <w:rPr>
                <w:rFonts w:hint="eastAsia" w:ascii="Times New Roman" w:hAnsi="Times New Roman" w:cs="Times New Roman"/>
                <w:sz w:val="24"/>
              </w:rPr>
              <w:t>），水污染物</w:t>
            </w:r>
            <w:r>
              <w:rPr>
                <w:rFonts w:ascii="Times New Roman" w:hAnsi="Times New Roman" w:cs="Times New Roman"/>
                <w:sz w:val="24"/>
              </w:rPr>
              <w:t xml:space="preserve">2 </w:t>
            </w:r>
            <w:r>
              <w:rPr>
                <w:rFonts w:hint="eastAsia" w:ascii="Times New Roman" w:hAnsi="Times New Roman" w:cs="Times New Roman"/>
                <w:sz w:val="24"/>
              </w:rPr>
              <w:t>项（</w:t>
            </w:r>
            <w:r>
              <w:rPr>
                <w:rFonts w:ascii="Times New Roman" w:hAnsi="Times New Roman" w:cs="Times New Roman"/>
                <w:sz w:val="24"/>
              </w:rPr>
              <w:t>COD</w:t>
            </w:r>
            <w:r>
              <w:rPr>
                <w:rFonts w:hint="eastAsia" w:ascii="Times New Roman" w:hAnsi="Times New Roman" w:cs="Times New Roman"/>
                <w:sz w:val="24"/>
              </w:rPr>
              <w:t>、</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r>
              <w:rPr>
                <w:rFonts w:hint="eastAsia" w:ascii="Times New Roman" w:hAnsi="Times New Roman" w:cs="Times New Roman"/>
                <w:sz w:val="24"/>
              </w:rPr>
              <w:t>）。</w:t>
            </w:r>
          </w:p>
          <w:p>
            <w:pPr>
              <w:snapToGrid w:val="0"/>
              <w:spacing w:line="336" w:lineRule="auto"/>
              <w:ind w:firstLine="480" w:firstLineChars="200"/>
              <w:rPr>
                <w:rFonts w:ascii="Times New Roman" w:hAnsi="Times New Roman" w:cs="Times New Roman"/>
                <w:sz w:val="24"/>
              </w:rPr>
            </w:pPr>
            <w:r>
              <w:rPr>
                <w:rFonts w:hint="eastAsia" w:ascii="Times New Roman" w:hAnsi="Times New Roman" w:cs="Times New Roman"/>
                <w:sz w:val="24"/>
              </w:rPr>
              <w:t>本项目中大气污染因子主要为扬尘，不属于总量控制因子，无需申请大气总量控制指标；生活污水经化粪池处理后作为农肥，生产废水经沉淀处理后回用于生产，均不外排，故本项目无需水污染物申请总量。</w:t>
            </w:r>
          </w:p>
        </w:tc>
      </w:tr>
    </w:tbl>
    <w:p>
      <w:pPr>
        <w:pStyle w:val="2"/>
      </w:pPr>
      <w:bookmarkStart w:id="45" w:name="_Toc7464059"/>
      <w:bookmarkStart w:id="46" w:name="_Toc25510"/>
      <w:bookmarkStart w:id="47" w:name="_Toc14464"/>
      <w:r>
        <w:t>五、建设项目工程分析</w:t>
      </w:r>
      <w:bookmarkEnd w:id="45"/>
      <w:bookmarkEnd w:id="46"/>
      <w:bookmarkEnd w:id="47"/>
    </w:p>
    <w:tbl>
      <w:tblPr>
        <w:tblStyle w:val="25"/>
        <w:tblW w:w="927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896" w:hRule="atLeast"/>
        </w:trPr>
        <w:tc>
          <w:tcPr>
            <w:tcW w:w="9277" w:type="dxa"/>
            <w:tcBorders>
              <w:top w:val="single" w:color="auto" w:sz="12" w:space="0"/>
              <w:left w:val="single" w:color="auto" w:sz="12" w:space="0"/>
              <w:bottom w:val="single" w:color="auto" w:sz="12" w:space="0"/>
              <w:right w:val="single" w:color="auto" w:sz="12" w:space="0"/>
            </w:tcBorders>
          </w:tcPr>
          <w:p>
            <w:pPr>
              <w:spacing w:line="360" w:lineRule="auto"/>
              <w:rPr>
                <w:rFonts w:ascii="Times New Roman" w:hAnsi="Times New Roman" w:cs="Times New Roman"/>
                <w:b/>
                <w:sz w:val="28"/>
              </w:rPr>
            </w:pPr>
            <w:r>
              <w:rPr>
                <w:rFonts w:hint="eastAsia" w:ascii="Times New Roman" w:hAnsi="Times New Roman" w:cs="Times New Roman"/>
                <w:b/>
                <w:sz w:val="28"/>
              </w:rPr>
              <w:t>5.1施工期工艺流程、污染工序和源强分析</w:t>
            </w:r>
          </w:p>
          <w:p>
            <w:pPr>
              <w:spacing w:line="360" w:lineRule="auto"/>
              <w:ind w:firstLine="482" w:firstLineChars="200"/>
              <w:rPr>
                <w:rFonts w:ascii="Times New Roman" w:hAnsi="Times New Roman" w:cs="Times New Roman"/>
                <w:b/>
                <w:sz w:val="24"/>
              </w:rPr>
            </w:pPr>
            <w:bookmarkStart w:id="48" w:name="OLE_LINK1"/>
            <w:bookmarkStart w:id="49" w:name="OLE_LINK4"/>
            <w:r>
              <w:rPr>
                <w:rFonts w:hint="eastAsia" w:ascii="Times New Roman" w:hAnsi="Times New Roman" w:cs="Times New Roman"/>
                <w:b/>
                <w:sz w:val="24"/>
              </w:rPr>
              <w:t>5.1.1施工期工艺流程及产污节点</w:t>
            </w:r>
          </w:p>
          <w:bookmarkEnd w:id="48"/>
          <w:bookmarkEnd w:id="49"/>
          <w:p>
            <w:pPr>
              <w:pStyle w:val="31"/>
              <w:rPr>
                <w:color w:val="auto"/>
              </w:rPr>
            </w:pPr>
            <w:r>
              <w:rPr>
                <w:rFonts w:hint="eastAsia"/>
                <w:color w:val="auto"/>
              </w:rPr>
              <w:t>本项目施工期主要进行场地平整、基础开挖、结构施工、设备安装、公用工程和绿化等，项目施工期的主要污染因素有施工扬尘、施工废水、施工噪声、施工固体废弃物及生态破坏等。</w:t>
            </w:r>
          </w:p>
          <w:p>
            <w:pPr>
              <w:pStyle w:val="31"/>
              <w:rPr>
                <w:color w:val="auto"/>
              </w:rPr>
            </w:pPr>
            <w:r>
              <w:rPr>
                <w:rFonts w:hint="eastAsia"/>
                <w:color w:val="auto"/>
              </w:rPr>
              <w:t>施工期工艺流程如下。</w:t>
            </w:r>
          </w:p>
          <w:p>
            <w:pPr>
              <w:pStyle w:val="31"/>
              <w:ind w:firstLine="0" w:firstLineChars="0"/>
              <w:jc w:val="center"/>
              <w:rPr>
                <w:color w:val="auto"/>
              </w:rPr>
            </w:pPr>
            <w:r>
              <w:rPr>
                <w:color w:val="auto"/>
              </w:rPr>
              <w:object>
                <v:shape id="_x0000_i1025" o:spt="75" type="#_x0000_t75" style="height:275.9pt;width:314.3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pStyle w:val="31"/>
              <w:ind w:firstLine="0" w:firstLineChars="0"/>
              <w:jc w:val="center"/>
              <w:rPr>
                <w:rFonts w:cs="Times New Roman"/>
                <w:b/>
                <w:color w:val="auto"/>
                <w:sz w:val="21"/>
                <w:szCs w:val="21"/>
              </w:rPr>
            </w:pPr>
            <w:r>
              <w:rPr>
                <w:rFonts w:cs="Times New Roman"/>
                <w:b/>
                <w:color w:val="auto"/>
                <w:sz w:val="21"/>
                <w:szCs w:val="21"/>
              </w:rPr>
              <w:t>图</w:t>
            </w:r>
            <w:r>
              <w:rPr>
                <w:rFonts w:hint="eastAsia" w:cs="Times New Roman"/>
                <w:b/>
                <w:color w:val="auto"/>
                <w:sz w:val="21"/>
                <w:szCs w:val="21"/>
              </w:rPr>
              <w:t>5-1</w:t>
            </w:r>
            <w:r>
              <w:rPr>
                <w:rFonts w:cs="Times New Roman"/>
                <w:b/>
                <w:color w:val="auto"/>
                <w:sz w:val="21"/>
                <w:szCs w:val="21"/>
              </w:rPr>
              <w:t xml:space="preserve">   </w:t>
            </w:r>
            <w:r>
              <w:rPr>
                <w:rFonts w:hint="eastAsia" w:cs="Times New Roman"/>
                <w:b/>
                <w:color w:val="auto"/>
                <w:sz w:val="21"/>
                <w:szCs w:val="21"/>
              </w:rPr>
              <w:t>施工期工艺流程</w:t>
            </w:r>
            <w:r>
              <w:rPr>
                <w:rFonts w:cs="Times New Roman"/>
                <w:b/>
                <w:color w:val="auto"/>
                <w:sz w:val="21"/>
                <w:szCs w:val="21"/>
              </w:rPr>
              <w:t>及产污</w:t>
            </w:r>
            <w:r>
              <w:rPr>
                <w:rFonts w:hint="eastAsia" w:cs="Times New Roman"/>
                <w:b/>
                <w:color w:val="auto"/>
                <w:sz w:val="21"/>
                <w:szCs w:val="21"/>
              </w:rPr>
              <w:t>节点</w:t>
            </w:r>
            <w:r>
              <w:rPr>
                <w:rFonts w:cs="Times New Roman"/>
                <w:b/>
                <w:color w:val="auto"/>
                <w:sz w:val="21"/>
                <w:szCs w:val="21"/>
              </w:rPr>
              <w:t>图</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5.1.2施工期主要污染工序和源强分析</w:t>
            </w:r>
          </w:p>
          <w:p>
            <w:pPr>
              <w:pStyle w:val="31"/>
              <w:ind w:firstLine="482"/>
              <w:rPr>
                <w:b/>
                <w:color w:val="auto"/>
              </w:rPr>
            </w:pPr>
            <w:r>
              <w:rPr>
                <w:rFonts w:hint="eastAsia"/>
                <w:b/>
                <w:color w:val="auto"/>
              </w:rPr>
              <w:t>5.1.2.1施工期水污染源分析</w:t>
            </w:r>
          </w:p>
          <w:p>
            <w:pPr>
              <w:pStyle w:val="31"/>
              <w:rPr>
                <w:color w:val="auto"/>
              </w:rPr>
            </w:pPr>
            <w:r>
              <w:rPr>
                <w:rFonts w:hint="eastAsia"/>
                <w:color w:val="auto"/>
              </w:rPr>
              <w:t>施工期废水排放主要来自于施工人员的生活污水及施工废水。</w:t>
            </w:r>
          </w:p>
          <w:p>
            <w:pPr>
              <w:pStyle w:val="31"/>
              <w:rPr>
                <w:color w:val="auto"/>
              </w:rPr>
            </w:pPr>
            <w:r>
              <w:rPr>
                <w:rFonts w:hint="eastAsia"/>
                <w:color w:val="auto"/>
              </w:rPr>
              <w:t>（1）施工期生活污水</w:t>
            </w:r>
          </w:p>
          <w:p>
            <w:pPr>
              <w:pStyle w:val="31"/>
              <w:rPr>
                <w:color w:val="auto"/>
              </w:rPr>
            </w:pPr>
            <w:r>
              <w:rPr>
                <w:rFonts w:hint="eastAsia"/>
                <w:color w:val="auto"/>
              </w:rPr>
              <w:t>施工期生活污水主要由现场施工人员产生，由于本项目施工期人员均来自于附近村民，因此，不设工人食宿，施工人数以10人计，施工作业天数按90天计，根据经验数据和类比估算，施工人员每天每人生活用水量按45L计，污水排放系数取0.8，则施工期生活污水产生量为0.36m</w:t>
            </w:r>
            <w:r>
              <w:rPr>
                <w:rFonts w:hint="eastAsia"/>
                <w:color w:val="auto"/>
                <w:vertAlign w:val="superscript"/>
              </w:rPr>
              <w:t>3</w:t>
            </w:r>
            <w:r>
              <w:rPr>
                <w:rFonts w:hint="eastAsia"/>
                <w:color w:val="auto"/>
              </w:rPr>
              <w:t>/d，共计32.4m</w:t>
            </w:r>
            <w:r>
              <w:rPr>
                <w:rFonts w:hint="eastAsia"/>
                <w:color w:val="auto"/>
                <w:vertAlign w:val="superscript"/>
              </w:rPr>
              <w:t>3</w:t>
            </w:r>
            <w:r>
              <w:rPr>
                <w:rFonts w:hint="eastAsia"/>
                <w:color w:val="auto"/>
              </w:rPr>
              <w:t>。生活污水中主要污染物为BOD</w:t>
            </w:r>
            <w:r>
              <w:rPr>
                <w:rFonts w:hint="eastAsia"/>
                <w:color w:val="auto"/>
                <w:vertAlign w:val="subscript"/>
              </w:rPr>
              <w:t>5</w:t>
            </w:r>
            <w:r>
              <w:rPr>
                <w:rFonts w:hint="eastAsia"/>
                <w:color w:val="auto"/>
              </w:rPr>
              <w:t>、COD</w:t>
            </w:r>
            <w:r>
              <w:rPr>
                <w:rFonts w:hint="eastAsia"/>
                <w:color w:val="auto"/>
                <w:vertAlign w:val="subscript"/>
              </w:rPr>
              <w:t>Cr</w:t>
            </w:r>
            <w:r>
              <w:rPr>
                <w:rFonts w:hint="eastAsia"/>
                <w:color w:val="auto"/>
              </w:rPr>
              <w:t>、NH</w:t>
            </w:r>
            <w:r>
              <w:rPr>
                <w:rFonts w:hint="eastAsia"/>
                <w:color w:val="auto"/>
                <w:vertAlign w:val="subscript"/>
              </w:rPr>
              <w:t>3</w:t>
            </w:r>
            <w:r>
              <w:rPr>
                <w:rFonts w:hint="eastAsia"/>
                <w:color w:val="auto"/>
              </w:rPr>
              <w:t>-N、SS、动植物油等，各污染物浓度及产生量见</w:t>
            </w:r>
            <w:r>
              <w:rPr>
                <w:color w:val="auto"/>
              </w:rPr>
              <w:fldChar w:fldCharType="begin"/>
            </w:r>
            <w:r>
              <w:rPr>
                <w:color w:val="auto"/>
              </w:rPr>
              <w:instrText xml:space="preserve"> </w:instrText>
            </w:r>
            <w:r>
              <w:rPr>
                <w:rFonts w:hint="eastAsia"/>
                <w:color w:val="auto"/>
              </w:rPr>
              <w:instrText xml:space="preserve">REF _Ref494294337 \h</w:instrText>
            </w:r>
            <w:r>
              <w:rPr>
                <w:color w:val="auto"/>
              </w:rPr>
              <w:instrText xml:space="preserve">  \* MERGEFORMAT </w:instrText>
            </w:r>
            <w:r>
              <w:rPr>
                <w:color w:val="auto"/>
              </w:rPr>
              <w:fldChar w:fldCharType="separate"/>
            </w:r>
            <w:r>
              <w:rPr>
                <w:rFonts w:hint="eastAsia"/>
                <w:color w:val="auto"/>
              </w:rPr>
              <w:t>表5-</w:t>
            </w:r>
            <w:r>
              <w:rPr>
                <w:color w:val="auto"/>
              </w:rPr>
              <w:t>1</w:t>
            </w:r>
            <w:r>
              <w:rPr>
                <w:color w:val="auto"/>
              </w:rPr>
              <w:fldChar w:fldCharType="end"/>
            </w:r>
            <w:r>
              <w:rPr>
                <w:rFonts w:hint="eastAsia"/>
                <w:color w:val="auto"/>
              </w:rPr>
              <w:t>。</w:t>
            </w:r>
          </w:p>
          <w:p>
            <w:pPr>
              <w:pStyle w:val="31"/>
              <w:rPr>
                <w:color w:val="auto"/>
              </w:rPr>
            </w:pPr>
            <w:r>
              <w:rPr>
                <w:rFonts w:hint="eastAsia"/>
                <w:color w:val="auto"/>
              </w:rPr>
              <w:t>本项目施工期生活污水经化粪池处理后用作农肥。</w:t>
            </w:r>
          </w:p>
          <w:p>
            <w:pPr>
              <w:spacing w:line="360" w:lineRule="auto"/>
              <w:ind w:firstLine="422" w:firstLineChars="200"/>
              <w:jc w:val="center"/>
              <w:rPr>
                <w:rFonts w:ascii="Times New Roman" w:hAnsi="Times New Roman" w:cs="Times New Roman"/>
                <w:b/>
                <w:bCs/>
              </w:rPr>
            </w:pPr>
            <w:bookmarkStart w:id="50" w:name="_Ref494294337"/>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bookmarkEnd w:id="50"/>
            <w:r>
              <w:rPr>
                <w:rFonts w:hint="eastAsia" w:ascii="Times New Roman" w:hAnsi="Times New Roman" w:cs="Times New Roman"/>
                <w:b/>
                <w:bCs/>
              </w:rPr>
              <w:t>施工期生活污水主要污染物浓度和产生量</w:t>
            </w:r>
          </w:p>
          <w:tbl>
            <w:tblPr>
              <w:tblStyle w:val="25"/>
              <w:tblW w:w="8789" w:type="dxa"/>
              <w:tblInd w:w="0" w:type="dxa"/>
              <w:tblLayout w:type="fixed"/>
              <w:tblCellMar>
                <w:top w:w="0" w:type="dxa"/>
                <w:left w:w="108" w:type="dxa"/>
                <w:bottom w:w="0" w:type="dxa"/>
                <w:right w:w="108" w:type="dxa"/>
              </w:tblCellMar>
            </w:tblPr>
            <w:tblGrid>
              <w:gridCol w:w="2405"/>
              <w:gridCol w:w="1276"/>
              <w:gridCol w:w="1277"/>
              <w:gridCol w:w="1277"/>
              <w:gridCol w:w="1277"/>
              <w:gridCol w:w="1277"/>
            </w:tblGrid>
            <w:tr>
              <w:tblPrEx>
                <w:tblLayout w:type="fixed"/>
                <w:tblCellMar>
                  <w:top w:w="0" w:type="dxa"/>
                  <w:left w:w="108" w:type="dxa"/>
                  <w:bottom w:w="0" w:type="dxa"/>
                  <w:right w:w="108" w:type="dxa"/>
                </w:tblCellMar>
              </w:tblPrEx>
              <w:trPr>
                <w:trHeight w:val="397"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污染物名称</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COD</w:t>
                  </w:r>
                  <w:r>
                    <w:rPr>
                      <w:rFonts w:hint="eastAsia" w:ascii="Times New Roman" w:hAnsi="Times New Roman" w:cs="Times New Roman"/>
                      <w:b/>
                      <w:kern w:val="0"/>
                      <w:szCs w:val="21"/>
                      <w:vertAlign w:val="subscript"/>
                    </w:rPr>
                    <w:t>Cr</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BOD</w:t>
                  </w:r>
                  <w:r>
                    <w:rPr>
                      <w:rFonts w:hint="eastAsia" w:ascii="Times New Roman" w:hAnsi="Times New Roman" w:cs="Times New Roman"/>
                      <w:b/>
                      <w:kern w:val="0"/>
                      <w:szCs w:val="21"/>
                      <w:vertAlign w:val="subscript"/>
                    </w:rPr>
                    <w:t>5</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NH</w:t>
                  </w:r>
                  <w:r>
                    <w:rPr>
                      <w:rFonts w:hint="eastAsia" w:ascii="Times New Roman" w:hAnsi="Times New Roman" w:cs="Times New Roman"/>
                      <w:b/>
                      <w:kern w:val="0"/>
                      <w:szCs w:val="21"/>
                      <w:vertAlign w:val="subscript"/>
                    </w:rPr>
                    <w:t>3</w:t>
                  </w:r>
                  <w:r>
                    <w:rPr>
                      <w:rFonts w:hint="eastAsia" w:ascii="Times New Roman" w:hAnsi="Times New Roman" w:cs="Times New Roman"/>
                      <w:b/>
                      <w:kern w:val="0"/>
                      <w:szCs w:val="21"/>
                    </w:rPr>
                    <w:t>-N</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SS</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动植物油</w:t>
                  </w:r>
                </w:p>
              </w:tc>
            </w:tr>
            <w:tr>
              <w:tblPrEx>
                <w:tblLayout w:type="fixed"/>
                <w:tblCellMar>
                  <w:top w:w="0" w:type="dxa"/>
                  <w:left w:w="108" w:type="dxa"/>
                  <w:bottom w:w="0" w:type="dxa"/>
                  <w:right w:w="108" w:type="dxa"/>
                </w:tblCellMar>
              </w:tblPrEx>
              <w:trPr>
                <w:trHeight w:val="397"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生活污水水量（m</w:t>
                  </w:r>
                  <w:r>
                    <w:rPr>
                      <w:rFonts w:hint="eastAsia" w:ascii="Times New Roman" w:hAnsi="Times New Roman" w:cs="Times New Roman"/>
                      <w:kern w:val="0"/>
                      <w:szCs w:val="21"/>
                      <w:vertAlign w:val="superscript"/>
                    </w:rPr>
                    <w:t>3</w:t>
                  </w:r>
                  <w:r>
                    <w:rPr>
                      <w:rFonts w:hint="eastAsia" w:ascii="Times New Roman" w:hAnsi="Times New Roman" w:cs="Times New Roman"/>
                      <w:kern w:val="0"/>
                      <w:szCs w:val="21"/>
                    </w:rPr>
                    <w:t>）</w:t>
                  </w:r>
                </w:p>
              </w:tc>
              <w:tc>
                <w:tcPr>
                  <w:tcW w:w="6384"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32.4</w:t>
                  </w:r>
                </w:p>
              </w:tc>
            </w:tr>
            <w:tr>
              <w:tblPrEx>
                <w:tblLayout w:type="fixed"/>
                <w:tblCellMar>
                  <w:top w:w="0" w:type="dxa"/>
                  <w:left w:w="108" w:type="dxa"/>
                  <w:bottom w:w="0" w:type="dxa"/>
                  <w:right w:w="108" w:type="dxa"/>
                </w:tblCellMar>
              </w:tblPrEx>
              <w:trPr>
                <w:trHeight w:val="397"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污染物浓度（mg/L）</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350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150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200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35</w:t>
                  </w:r>
                </w:p>
              </w:tc>
            </w:tr>
            <w:tr>
              <w:tblPrEx>
                <w:tblLayout w:type="fixed"/>
                <w:tblCellMar>
                  <w:top w:w="0" w:type="dxa"/>
                  <w:left w:w="108" w:type="dxa"/>
                  <w:bottom w:w="0" w:type="dxa"/>
                  <w:right w:w="108" w:type="dxa"/>
                </w:tblCellMar>
              </w:tblPrEx>
              <w:trPr>
                <w:trHeight w:val="397"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污染物产生量（t）</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0.0113</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0.0049</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0.0010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0.0065</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0.0011</w:t>
                  </w:r>
                </w:p>
              </w:tc>
            </w:tr>
          </w:tbl>
          <w:p>
            <w:pPr>
              <w:pStyle w:val="31"/>
              <w:rPr>
                <w:color w:val="auto"/>
              </w:rPr>
            </w:pPr>
            <w:r>
              <w:rPr>
                <w:rFonts w:hint="eastAsia"/>
                <w:color w:val="auto"/>
              </w:rPr>
              <w:t>（2）施工废水</w:t>
            </w:r>
          </w:p>
          <w:p>
            <w:pPr>
              <w:pStyle w:val="36"/>
              <w:ind w:firstLine="480"/>
              <w:rPr>
                <w:rFonts w:ascii="Times New Roman" w:hAnsi="Times New Roman" w:cs="Times New Roman"/>
                <w:color w:val="auto"/>
                <w:kern w:val="0"/>
              </w:rPr>
            </w:pPr>
            <w:r>
              <w:rPr>
                <w:rFonts w:ascii="Times New Roman" w:hAnsi="Times New Roman" w:cs="Times New Roman"/>
                <w:color w:val="auto"/>
              </w:rPr>
              <w:t>施工废水主要包括开挖产生的泥浆水、机械设备运转的冷却水和洗涤水、施工机械运转与维修过程中产生的含油污水、建材清洗废水及运输车辆的冲洗水等，此外，暴雨地表径流冲刷施工现场浮土、建筑砂石、垃圾、弃土等将产生夹带大量泥砂、油类等各种污染物的污水。类比建筑工地废水水质，施工废水中主要污染因子是SS（400～1200mg/L）和石油类（5～10mg/L），施工废水实际产生量和污染物浓度与项目场地地质、天气和管理水平有关。</w:t>
            </w:r>
            <w:r>
              <w:rPr>
                <w:rFonts w:ascii="Times New Roman" w:hAnsi="Times New Roman" w:cs="Times New Roman"/>
                <w:color w:val="auto"/>
                <w:kern w:val="0"/>
              </w:rPr>
              <w:t>本评价要求施工单位设临时隔油沉砂池，废水经隔油沉淀处理后回用或作施工期间洒水抑尘用，禁止废水未经处理直接排入周边水体</w:t>
            </w:r>
            <w:r>
              <w:rPr>
                <w:rFonts w:hint="eastAsia" w:ascii="Times New Roman" w:hAnsi="Times New Roman" w:cs="Times New Roman"/>
                <w:color w:val="auto"/>
                <w:kern w:val="0"/>
              </w:rPr>
              <w:t>或农田</w:t>
            </w:r>
            <w:r>
              <w:rPr>
                <w:rFonts w:ascii="Times New Roman" w:hAnsi="Times New Roman" w:cs="Times New Roman"/>
                <w:color w:val="auto"/>
                <w:kern w:val="0"/>
              </w:rPr>
              <w:t>。</w:t>
            </w:r>
          </w:p>
          <w:p>
            <w:pPr>
              <w:pStyle w:val="31"/>
              <w:ind w:firstLine="482"/>
              <w:rPr>
                <w:b/>
                <w:color w:val="auto"/>
              </w:rPr>
            </w:pPr>
            <w:r>
              <w:rPr>
                <w:rFonts w:hint="eastAsia"/>
                <w:b/>
                <w:color w:val="auto"/>
              </w:rPr>
              <w:t>5.1.2.2施工期大气污染源分析</w:t>
            </w:r>
          </w:p>
          <w:p>
            <w:pPr>
              <w:pStyle w:val="31"/>
              <w:rPr>
                <w:color w:val="auto"/>
              </w:rPr>
            </w:pPr>
            <w:r>
              <w:rPr>
                <w:rFonts w:hint="eastAsia"/>
                <w:color w:val="auto"/>
              </w:rPr>
              <w:t>施工期大气污染主要为施工区土石方开挖与填筑产生的粉尘、汽车运输产生的扬尘、燃油机械产生的尾气、房屋装修废气等。</w:t>
            </w:r>
          </w:p>
          <w:p>
            <w:pPr>
              <w:pStyle w:val="31"/>
              <w:rPr>
                <w:color w:val="auto"/>
              </w:rPr>
            </w:pPr>
            <w:r>
              <w:rPr>
                <w:rFonts w:hint="eastAsia"/>
                <w:color w:val="auto"/>
              </w:rPr>
              <w:t>（1）施工粉尘和扬尘</w:t>
            </w:r>
          </w:p>
          <w:p>
            <w:pPr>
              <w:pStyle w:val="31"/>
              <w:rPr>
                <w:color w:val="auto"/>
              </w:rPr>
            </w:pPr>
            <w:r>
              <w:rPr>
                <w:rFonts w:hint="eastAsia"/>
                <w:color w:val="auto"/>
              </w:rPr>
              <w:t>施工扬尘来源于各颗粒物无组织排放源，土方挖掘填埋，物料堆存，建筑材料（尤其是袋装水泥）的装卸、搬运、使用，以及运料车辆的出入等，都易产生扬尘污染。</w:t>
            </w:r>
          </w:p>
          <w:p>
            <w:pPr>
              <w:pStyle w:val="31"/>
              <w:rPr>
                <w:color w:val="auto"/>
              </w:rPr>
            </w:pPr>
            <w:r>
              <w:rPr>
                <w:rFonts w:hint="eastAsia"/>
                <w:color w:val="auto"/>
              </w:rPr>
              <w:t>对整个施工期而言，产生的扬尘主要集中在土建施工阶段。由于土石方挖掘破坏了地表的原有结构，会造成地面扬尘污染环境，但扬尘量的大小与施工现场条件、管理水平、机械化程度及施工季节、土质及天气条件等诸多因素有关。一般情况，根据监测经验，建筑施工扬尘均比较严重，当风速为</w:t>
            </w:r>
            <w:r>
              <w:rPr>
                <w:color w:val="auto"/>
              </w:rPr>
              <w:t xml:space="preserve">2.4m/s </w:t>
            </w:r>
            <w:r>
              <w:rPr>
                <w:rFonts w:hint="eastAsia"/>
                <w:color w:val="auto"/>
              </w:rPr>
              <w:t>时，工地内颗粒物浓度为上风向对照点的</w:t>
            </w:r>
            <w:r>
              <w:rPr>
                <w:color w:val="auto"/>
              </w:rPr>
              <w:t>1.5-2.3</w:t>
            </w:r>
            <w:r>
              <w:rPr>
                <w:rFonts w:hint="eastAsia"/>
                <w:color w:val="auto"/>
              </w:rPr>
              <w:t>倍；建筑施工扬尘的影响范围一般为其下风向</w:t>
            </w:r>
            <w:r>
              <w:rPr>
                <w:color w:val="auto"/>
              </w:rPr>
              <w:t>150m</w:t>
            </w:r>
            <w:r>
              <w:rPr>
                <w:rFonts w:hint="eastAsia"/>
                <w:color w:val="auto"/>
              </w:rPr>
              <w:t>之内，被影响地区颗粒物浓度在</w:t>
            </w:r>
            <w:r>
              <w:rPr>
                <w:color w:val="auto"/>
              </w:rPr>
              <w:t>0.45-0.55mg/m</w:t>
            </w:r>
            <w:r>
              <w:rPr>
                <w:color w:val="auto"/>
                <w:vertAlign w:val="superscript"/>
              </w:rPr>
              <w:t>3</w:t>
            </w:r>
            <w:r>
              <w:rPr>
                <w:rFonts w:hint="eastAsia"/>
                <w:color w:val="auto"/>
              </w:rPr>
              <w:t>之间，为上风向对照点的</w:t>
            </w:r>
            <w:r>
              <w:rPr>
                <w:color w:val="auto"/>
              </w:rPr>
              <w:t>1.5</w:t>
            </w:r>
            <w:r>
              <w:rPr>
                <w:rFonts w:hint="eastAsia"/>
                <w:color w:val="auto"/>
              </w:rPr>
              <w:t>倍，相当于大气环境质量标准的</w:t>
            </w:r>
            <w:r>
              <w:rPr>
                <w:color w:val="auto"/>
              </w:rPr>
              <w:t>1.5</w:t>
            </w:r>
            <w:r>
              <w:rPr>
                <w:rFonts w:hint="eastAsia"/>
                <w:color w:val="auto"/>
              </w:rPr>
              <w:t>～2.0倍，一般来说，通过严格施工管理与洒水措施可以使施工现场的扬尘得到有效的抑制。</w:t>
            </w:r>
          </w:p>
          <w:p>
            <w:pPr>
              <w:pStyle w:val="31"/>
              <w:rPr>
                <w:color w:val="auto"/>
              </w:rPr>
            </w:pPr>
            <w:r>
              <w:rPr>
                <w:rFonts w:hint="eastAsia"/>
                <w:color w:val="auto"/>
              </w:rPr>
              <w:t>根据环境保护部办公厅《施工扬尘排污特征值系数及排污费计算方法》（环办[2014]80号文附件6），建筑施工扬尘产生系数为1.01 kg/m</w:t>
            </w:r>
            <w:r>
              <w:rPr>
                <w:rFonts w:hint="eastAsia"/>
                <w:color w:val="auto"/>
                <w:vertAlign w:val="superscript"/>
              </w:rPr>
              <w:t>2</w:t>
            </w:r>
            <w:r>
              <w:rPr>
                <w:color w:val="auto"/>
              </w:rPr>
              <w:t>▪</w:t>
            </w:r>
            <w:r>
              <w:rPr>
                <w:rFonts w:hint="eastAsia"/>
                <w:color w:val="auto"/>
              </w:rPr>
              <w:t>月，采取各类扬尘污染控制措施后，扬尘排放量削减系数可达到0.53</w:t>
            </w:r>
            <w:r>
              <w:rPr>
                <w:color w:val="auto"/>
              </w:rPr>
              <w:t>kg/m</w:t>
            </w:r>
            <w:r>
              <w:rPr>
                <w:color w:val="auto"/>
                <w:vertAlign w:val="superscript"/>
              </w:rPr>
              <w:t>2</w:t>
            </w:r>
            <w:r>
              <w:rPr>
                <w:color w:val="auto"/>
              </w:rPr>
              <w:t>▪</w:t>
            </w:r>
            <w:r>
              <w:rPr>
                <w:rFonts w:hint="eastAsia"/>
                <w:color w:val="auto"/>
              </w:rPr>
              <w:t>月，本项目新建建筑物面积约4800m</w:t>
            </w:r>
            <w:r>
              <w:rPr>
                <w:rFonts w:hint="eastAsia"/>
                <w:color w:val="auto"/>
                <w:vertAlign w:val="superscript"/>
              </w:rPr>
              <w:t>2</w:t>
            </w:r>
            <w:r>
              <w:rPr>
                <w:rFonts w:hint="eastAsia"/>
                <w:color w:val="auto"/>
              </w:rPr>
              <w:t>，则未采取抑尘措施时，扬尘产生量约为4.85吨/月，采取道路硬化、裸露地面覆盖、易扬尘物料覆盖等各类扬尘污染控制措施后，扬尘排放量可降低至2.30吨/月。</w:t>
            </w:r>
          </w:p>
          <w:p>
            <w:pPr>
              <w:pStyle w:val="31"/>
              <w:rPr>
                <w:color w:val="auto"/>
              </w:rPr>
            </w:pPr>
            <w:r>
              <w:rPr>
                <w:rFonts w:hint="eastAsia"/>
                <w:color w:val="auto"/>
              </w:rPr>
              <w:t>扬尘产生和排放计算公式如下：</w:t>
            </w:r>
          </w:p>
          <w:p>
            <w:pPr>
              <w:pStyle w:val="31"/>
              <w:rPr>
                <w:color w:val="auto"/>
              </w:rPr>
            </w:pPr>
            <w:r>
              <w:rPr>
                <w:color w:val="auto"/>
                <w:position w:val="-8"/>
              </w:rPr>
              <w:object>
                <v:shape id="_x0000_i1026" o:spt="75" type="#_x0000_t75" style="height:17pt;width:348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p>
          <w:p>
            <w:pPr>
              <w:pStyle w:val="31"/>
              <w:rPr>
                <w:color w:val="auto"/>
              </w:rPr>
            </w:pPr>
            <w:r>
              <w:rPr>
                <w:color w:val="auto"/>
                <w:position w:val="-8"/>
              </w:rPr>
              <w:object>
                <v:shape id="_x0000_i1027" o:spt="75" type="#_x0000_t75" style="height:17pt;width:396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pPr>
              <w:pStyle w:val="31"/>
              <w:rPr>
                <w:color w:val="auto"/>
              </w:rPr>
            </w:pPr>
            <w:r>
              <w:rPr>
                <w:color w:val="auto"/>
                <w:position w:val="-8"/>
              </w:rPr>
              <w:object>
                <v:shape id="_x0000_i1028" o:spt="75" type="#_x0000_t75" style="height:16pt;width:229.9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pPr>
              <w:spacing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施工扬尘产生、削减系数表（摘录自环办[2014]80号文附件6）</w:t>
            </w:r>
          </w:p>
          <w:tbl>
            <w:tblPr>
              <w:tblStyle w:val="25"/>
              <w:tblW w:w="8789" w:type="dxa"/>
              <w:jc w:val="center"/>
              <w:tblInd w:w="0" w:type="dxa"/>
              <w:tblLayout w:type="fixed"/>
              <w:tblCellMar>
                <w:top w:w="0" w:type="dxa"/>
                <w:left w:w="108" w:type="dxa"/>
                <w:bottom w:w="0" w:type="dxa"/>
                <w:right w:w="108" w:type="dxa"/>
              </w:tblCellMar>
            </w:tblPr>
            <w:tblGrid>
              <w:gridCol w:w="1789"/>
              <w:gridCol w:w="1472"/>
              <w:gridCol w:w="2409"/>
              <w:gridCol w:w="1701"/>
              <w:gridCol w:w="1418"/>
            </w:tblGrid>
            <w:tr>
              <w:tblPrEx>
                <w:tblLayout w:type="fixed"/>
                <w:tblCellMar>
                  <w:top w:w="0" w:type="dxa"/>
                  <w:left w:w="108" w:type="dxa"/>
                  <w:bottom w:w="0" w:type="dxa"/>
                  <w:right w:w="108" w:type="dxa"/>
                </w:tblCellMar>
              </w:tblPrEx>
              <w:trPr>
                <w:trHeight w:val="386" w:hRule="atLeast"/>
                <w:jc w:val="center"/>
              </w:trPr>
              <w:tc>
                <w:tcPr>
                  <w:tcW w:w="32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工地类型</w:t>
                  </w:r>
                </w:p>
              </w:tc>
              <w:tc>
                <w:tcPr>
                  <w:tcW w:w="5528"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扬尘产生量系数（千克/平方米·月）</w:t>
                  </w:r>
                </w:p>
              </w:tc>
            </w:tr>
            <w:tr>
              <w:tblPrEx>
                <w:tblLayout w:type="fixed"/>
                <w:tblCellMar>
                  <w:top w:w="0" w:type="dxa"/>
                  <w:left w:w="108" w:type="dxa"/>
                  <w:bottom w:w="0" w:type="dxa"/>
                  <w:right w:w="108" w:type="dxa"/>
                </w:tblCellMar>
              </w:tblPrEx>
              <w:trPr>
                <w:trHeight w:val="386" w:hRule="atLeast"/>
                <w:jc w:val="center"/>
              </w:trPr>
              <w:tc>
                <w:tcPr>
                  <w:tcW w:w="32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建筑施工</w:t>
                  </w:r>
                </w:p>
              </w:tc>
              <w:tc>
                <w:tcPr>
                  <w:tcW w:w="5528"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1.01</w:t>
                  </w:r>
                </w:p>
              </w:tc>
            </w:tr>
            <w:tr>
              <w:tblPrEx>
                <w:tblLayout w:type="fixed"/>
                <w:tblCellMar>
                  <w:top w:w="0" w:type="dxa"/>
                  <w:left w:w="108" w:type="dxa"/>
                  <w:bottom w:w="0" w:type="dxa"/>
                  <w:right w:w="108" w:type="dxa"/>
                </w:tblCellMar>
              </w:tblPrEx>
              <w:trPr>
                <w:trHeight w:val="386" w:hRule="atLeast"/>
                <w:jc w:val="center"/>
              </w:trPr>
              <w:tc>
                <w:tcPr>
                  <w:tcW w:w="326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市政（拆迁）施工</w:t>
                  </w:r>
                </w:p>
              </w:tc>
              <w:tc>
                <w:tcPr>
                  <w:tcW w:w="5528"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1.64</w:t>
                  </w:r>
                </w:p>
              </w:tc>
            </w:tr>
            <w:tr>
              <w:tblPrEx>
                <w:tblLayout w:type="fixed"/>
                <w:tblCellMar>
                  <w:top w:w="0" w:type="dxa"/>
                  <w:left w:w="108" w:type="dxa"/>
                  <w:bottom w:w="0" w:type="dxa"/>
                  <w:right w:w="108" w:type="dxa"/>
                </w:tblCellMar>
              </w:tblPrEx>
              <w:trPr>
                <w:trHeight w:val="386" w:hRule="atLeast"/>
                <w:jc w:val="center"/>
              </w:trPr>
              <w:tc>
                <w:tcPr>
                  <w:tcW w:w="1789" w:type="dxa"/>
                  <w:vMerge w:val="restart"/>
                  <w:tcBorders>
                    <w:top w:val="nil"/>
                    <w:left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工地类型</w:t>
                  </w:r>
                </w:p>
              </w:tc>
              <w:tc>
                <w:tcPr>
                  <w:tcW w:w="1472" w:type="dxa"/>
                  <w:vMerge w:val="restart"/>
                  <w:tcBorders>
                    <w:top w:val="nil"/>
                    <w:left w:val="nil"/>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扬尘类型</w:t>
                  </w:r>
                </w:p>
              </w:tc>
              <w:tc>
                <w:tcPr>
                  <w:tcW w:w="2409" w:type="dxa"/>
                  <w:vMerge w:val="restart"/>
                  <w:tcBorders>
                    <w:top w:val="nil"/>
                    <w:left w:val="nil"/>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扬尘</w:t>
                  </w:r>
                  <w:r>
                    <w:rPr>
                      <w:rFonts w:hint="eastAsia" w:ascii="Times New Roman" w:hAnsi="Times New Roman" w:cs="Times New Roman"/>
                      <w:kern w:val="0"/>
                      <w:szCs w:val="21"/>
                    </w:rPr>
                    <w:t>污染</w:t>
                  </w:r>
                  <w:r>
                    <w:rPr>
                      <w:rFonts w:ascii="Times New Roman" w:hAnsi="Times New Roman" w:cs="Times New Roman"/>
                      <w:kern w:val="0"/>
                      <w:szCs w:val="21"/>
                    </w:rPr>
                    <w:t>控制措施</w:t>
                  </w:r>
                </w:p>
              </w:tc>
              <w:tc>
                <w:tcPr>
                  <w:tcW w:w="3119"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扬尘排放量削减系数</w:t>
                  </w:r>
                  <w:r>
                    <w:rPr>
                      <w:rFonts w:ascii="Times New Roman" w:hAnsi="Times New Roman" w:cs="Times New Roman"/>
                      <w:kern w:val="0"/>
                      <w:szCs w:val="21"/>
                    </w:rPr>
                    <w:br w:type="textWrapping"/>
                  </w:r>
                  <w:r>
                    <w:rPr>
                      <w:rFonts w:ascii="Times New Roman" w:hAnsi="Times New Roman" w:cs="Times New Roman"/>
                      <w:kern w:val="0"/>
                      <w:szCs w:val="21"/>
                    </w:rPr>
                    <w:t>（千克/平方米·月）</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right w:val="single" w:color="auto" w:sz="4" w:space="0"/>
                  </w:tcBorders>
                  <w:vAlign w:val="center"/>
                </w:tcPr>
                <w:p>
                  <w:pPr>
                    <w:widowControl/>
                    <w:jc w:val="left"/>
                    <w:rPr>
                      <w:rFonts w:ascii="Times New Roman" w:hAnsi="Times New Roman" w:cs="Times New Roman"/>
                      <w:b/>
                      <w:kern w:val="0"/>
                      <w:szCs w:val="21"/>
                    </w:rPr>
                  </w:pPr>
                </w:p>
              </w:tc>
              <w:tc>
                <w:tcPr>
                  <w:tcW w:w="2409" w:type="dxa"/>
                  <w:vMerge w:val="continue"/>
                  <w:tcBorders>
                    <w:left w:val="nil"/>
                    <w:right w:val="single" w:color="auto" w:sz="4" w:space="0"/>
                  </w:tcBorders>
                  <w:vAlign w:val="center"/>
                </w:tcPr>
                <w:p>
                  <w:pPr>
                    <w:widowControl/>
                    <w:jc w:val="left"/>
                    <w:rPr>
                      <w:rFonts w:ascii="Times New Roman" w:hAnsi="Times New Roman" w:cs="Times New Roman"/>
                      <w:kern w:val="0"/>
                      <w:szCs w:val="21"/>
                    </w:rPr>
                  </w:pPr>
                </w:p>
              </w:tc>
              <w:tc>
                <w:tcPr>
                  <w:tcW w:w="3119"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措施达标</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bottom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2409" w:type="dxa"/>
                  <w:vMerge w:val="continue"/>
                  <w:tcBorders>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否</w:t>
                  </w:r>
                </w:p>
              </w:tc>
            </w:tr>
            <w:tr>
              <w:tblPrEx>
                <w:tblLayout w:type="fixed"/>
                <w:tblCellMar>
                  <w:top w:w="0" w:type="dxa"/>
                  <w:left w:w="108" w:type="dxa"/>
                  <w:bottom w:w="0" w:type="dxa"/>
                  <w:right w:w="108" w:type="dxa"/>
                </w:tblCellMar>
              </w:tblPrEx>
              <w:trPr>
                <w:trHeight w:val="386" w:hRule="atLeast"/>
                <w:jc w:val="center"/>
              </w:trPr>
              <w:tc>
                <w:tcPr>
                  <w:tcW w:w="1789" w:type="dxa"/>
                  <w:vMerge w:val="restart"/>
                  <w:tcBorders>
                    <w:top w:val="nil"/>
                    <w:left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建筑工地</w:t>
                  </w:r>
                </w:p>
              </w:tc>
              <w:tc>
                <w:tcPr>
                  <w:tcW w:w="1472" w:type="dxa"/>
                  <w:vMerge w:val="restart"/>
                  <w:tcBorders>
                    <w:top w:val="nil"/>
                    <w:left w:val="nil"/>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一次扬尘</w:t>
                  </w: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道路硬化措施</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0.071</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right w:val="single" w:color="auto" w:sz="4" w:space="0"/>
                  </w:tcBorders>
                  <w:vAlign w:val="center"/>
                </w:tcPr>
                <w:p>
                  <w:pPr>
                    <w:widowControl/>
                    <w:jc w:val="left"/>
                    <w:rPr>
                      <w:rFonts w:ascii="Times New Roman" w:hAnsi="Times New Roman" w:cs="Times New Roman"/>
                      <w:b/>
                      <w:kern w:val="0"/>
                      <w:szCs w:val="21"/>
                    </w:rPr>
                  </w:pP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边界围挡</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0.047</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right w:val="single" w:color="auto" w:sz="4" w:space="0"/>
                  </w:tcBorders>
                  <w:vAlign w:val="center"/>
                </w:tcPr>
                <w:p>
                  <w:pPr>
                    <w:widowControl/>
                    <w:jc w:val="left"/>
                    <w:rPr>
                      <w:rFonts w:ascii="Times New Roman" w:hAnsi="Times New Roman" w:cs="Times New Roman"/>
                      <w:b/>
                      <w:kern w:val="0"/>
                      <w:szCs w:val="21"/>
                    </w:rPr>
                  </w:pP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裸露地面覆盖</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0.047</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right w:val="single" w:color="auto" w:sz="4" w:space="0"/>
                  </w:tcBorders>
                  <w:vAlign w:val="center"/>
                </w:tcPr>
                <w:p>
                  <w:pPr>
                    <w:widowControl/>
                    <w:jc w:val="left"/>
                    <w:rPr>
                      <w:rFonts w:ascii="Times New Roman" w:hAnsi="Times New Roman" w:cs="Times New Roman"/>
                      <w:b/>
                      <w:kern w:val="0"/>
                      <w:szCs w:val="21"/>
                    </w:rPr>
                  </w:pP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易扬尘物料覆盖</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w:t>
                  </w:r>
                  <w:r>
                    <w:rPr>
                      <w:rFonts w:ascii="Times New Roman" w:hAnsi="Times New Roman" w:cs="Times New Roman"/>
                      <w:kern w:val="0"/>
                      <w:szCs w:val="21"/>
                    </w:rPr>
                    <w:t>.025</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continue"/>
                  <w:tcBorders>
                    <w:left w:val="nil"/>
                    <w:bottom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定期喷洒抑</w:t>
                  </w:r>
                  <w:r>
                    <w:rPr>
                      <w:rFonts w:ascii="Times New Roman" w:hAnsi="Times New Roman" w:cs="Times New Roman"/>
                      <w:kern w:val="0"/>
                      <w:szCs w:val="21"/>
                    </w:rPr>
                    <w:cr/>
                  </w:r>
                  <w:r>
                    <w:rPr>
                      <w:rFonts w:ascii="Times New Roman" w:hAnsi="Times New Roman" w:cs="Times New Roman"/>
                      <w:kern w:val="0"/>
                      <w:szCs w:val="21"/>
                    </w:rPr>
                    <w:t>剂</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0.03</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right w:val="single" w:color="auto" w:sz="4" w:space="0"/>
                  </w:tcBorders>
                  <w:vAlign w:val="center"/>
                </w:tcPr>
                <w:p>
                  <w:pPr>
                    <w:widowControl/>
                    <w:jc w:val="left"/>
                    <w:rPr>
                      <w:rFonts w:ascii="Times New Roman" w:hAnsi="Times New Roman" w:cs="Times New Roman"/>
                      <w:b/>
                      <w:kern w:val="0"/>
                      <w:szCs w:val="21"/>
                    </w:rPr>
                  </w:pPr>
                </w:p>
              </w:tc>
              <w:tc>
                <w:tcPr>
                  <w:tcW w:w="1472" w:type="dxa"/>
                  <w:vMerge w:val="restart"/>
                  <w:tcBorders>
                    <w:top w:val="nil"/>
                    <w:left w:val="nil"/>
                    <w:right w:val="single" w:color="auto" w:sz="4" w:space="0"/>
                  </w:tcBorders>
                  <w:vAlign w:val="center"/>
                </w:tcPr>
                <w:p>
                  <w:pPr>
                    <w:widowControl/>
                    <w:jc w:val="center"/>
                    <w:rPr>
                      <w:rFonts w:ascii="Times New Roman" w:hAnsi="Times New Roman" w:cs="Times New Roman"/>
                      <w:b/>
                      <w:kern w:val="0"/>
                      <w:szCs w:val="21"/>
                    </w:rPr>
                  </w:pPr>
                  <w:r>
                    <w:rPr>
                      <w:rFonts w:ascii="Times New Roman" w:hAnsi="Times New Roman" w:cs="Times New Roman"/>
                      <w:b/>
                      <w:kern w:val="0"/>
                      <w:szCs w:val="21"/>
                    </w:rPr>
                    <w:t>二次扬尘</w:t>
                  </w: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运输车辆机械</w:t>
                  </w:r>
                  <w:r>
                    <w:rPr>
                      <w:rFonts w:hint="eastAsia" w:ascii="Times New Roman" w:hAnsi="Times New Roman" w:cs="Times New Roman"/>
                      <w:kern w:val="0"/>
                      <w:szCs w:val="21"/>
                    </w:rPr>
                    <w:t>冲洗</w:t>
                  </w:r>
                  <w:r>
                    <w:rPr>
                      <w:rFonts w:ascii="Times New Roman" w:hAnsi="Times New Roman" w:cs="Times New Roman"/>
                      <w:kern w:val="0"/>
                      <w:szCs w:val="21"/>
                    </w:rPr>
                    <w:t>装置</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0.3</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r>
              <w:tblPrEx>
                <w:tblLayout w:type="fixed"/>
                <w:tblCellMar>
                  <w:top w:w="0" w:type="dxa"/>
                  <w:left w:w="108" w:type="dxa"/>
                  <w:bottom w:w="0" w:type="dxa"/>
                  <w:right w:w="108" w:type="dxa"/>
                </w:tblCellMar>
              </w:tblPrEx>
              <w:trPr>
                <w:trHeight w:val="386" w:hRule="atLeast"/>
                <w:jc w:val="center"/>
              </w:trPr>
              <w:tc>
                <w:tcPr>
                  <w:tcW w:w="1789"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Cs w:val="21"/>
                    </w:rPr>
                  </w:pPr>
                </w:p>
              </w:tc>
              <w:tc>
                <w:tcPr>
                  <w:tcW w:w="1472" w:type="dxa"/>
                  <w:vMerge w:val="continue"/>
                  <w:tcBorders>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p>
              </w:tc>
              <w:tc>
                <w:tcPr>
                  <w:tcW w:w="2409"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kern w:val="0"/>
                      <w:szCs w:val="21"/>
                    </w:rPr>
                  </w:pPr>
                  <w:r>
                    <w:rPr>
                      <w:rFonts w:ascii="Times New Roman" w:hAnsi="Times New Roman" w:cs="Times New Roman"/>
                      <w:kern w:val="0"/>
                      <w:szCs w:val="21"/>
                    </w:rPr>
                    <w:t>运输车辆简易冲洗装置</w:t>
                  </w:r>
                </w:p>
              </w:tc>
              <w:tc>
                <w:tcPr>
                  <w:tcW w:w="1701"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0.155</w:t>
                  </w:r>
                </w:p>
              </w:tc>
              <w:tc>
                <w:tcPr>
                  <w:tcW w:w="1418"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r>
          </w:tbl>
          <w:p>
            <w:pPr>
              <w:pStyle w:val="31"/>
              <w:rPr>
                <w:color w:val="auto"/>
              </w:rPr>
            </w:pPr>
            <w:r>
              <w:rPr>
                <w:rFonts w:hint="eastAsia"/>
                <w:color w:val="auto"/>
              </w:rPr>
              <w:t>根据《中华人民共和国大气污染防治法》，建设单位须将防治扬尘污染的费用列入工程造价，并在施工承包合同中明确施工单位扬尘污染防治责任，施工单位须制定具体的施工扬尘污染防治实施方案。从事房屋建筑、市政基础设施建设等施工单位，须向负责监督管理扬尘污染防治的主管部门备案。</w:t>
            </w:r>
          </w:p>
          <w:p>
            <w:pPr>
              <w:pStyle w:val="31"/>
              <w:rPr>
                <w:color w:val="auto"/>
              </w:rPr>
            </w:pPr>
            <w:r>
              <w:rPr>
                <w:rFonts w:hint="eastAsia"/>
                <w:color w:val="auto"/>
              </w:rPr>
              <w:t>（2）施工机械燃油废气</w:t>
            </w:r>
          </w:p>
          <w:p>
            <w:pPr>
              <w:pStyle w:val="31"/>
              <w:rPr>
                <w:color w:val="auto"/>
              </w:rPr>
            </w:pPr>
            <w:r>
              <w:rPr>
                <w:rFonts w:hint="eastAsia"/>
                <w:color w:val="auto"/>
              </w:rPr>
              <w:t>施工期间，使用机动车运送原材料、设备和建筑机械设备的运转，均会排放一定量的尾气，主要污染物为CO、NO</w:t>
            </w:r>
            <w:r>
              <w:rPr>
                <w:rFonts w:hint="eastAsia"/>
                <w:color w:val="auto"/>
                <w:vertAlign w:val="subscript"/>
              </w:rPr>
              <w:t>X</w:t>
            </w:r>
            <w:r>
              <w:rPr>
                <w:rFonts w:hint="eastAsia"/>
                <w:color w:val="auto"/>
              </w:rPr>
              <w:t>以及未完全燃烧的HC等，其特点是排放量小，间断性无组织排放，燃油机械尾气排放与机械的使用程度有关，由于项目地所处区域较开阔，施工期尾气排放对区域大气环境的影响相对较小。本环评要求施工期注意施工设备的维护，使其能够正常的运行，避免施工机械因病态而使产生的废气超标的现象发生。</w:t>
            </w:r>
          </w:p>
          <w:p>
            <w:pPr>
              <w:pStyle w:val="31"/>
              <w:rPr>
                <w:color w:val="auto"/>
              </w:rPr>
            </w:pPr>
            <w:r>
              <w:rPr>
                <w:rFonts w:hint="eastAsia"/>
                <w:color w:val="auto"/>
              </w:rPr>
              <w:t>（3）房屋装修废气</w:t>
            </w:r>
          </w:p>
          <w:p>
            <w:pPr>
              <w:pStyle w:val="31"/>
              <w:rPr>
                <w:color w:val="auto"/>
              </w:rPr>
            </w:pPr>
            <w:r>
              <w:rPr>
                <w:rFonts w:hint="eastAsia"/>
                <w:color w:val="auto"/>
              </w:rPr>
              <w:t>项目装修对大气造成污染的主要来自各种电锯对地砖、面砖、木板切割产生的粉尘及冲击钻施工时产生的扬尘和装修过程中的有机废气，装修废气主要来自于房屋装修阶段，为装修涂料、油漆等散发的有机废气，该部分废气的排放属无组织排放，其主要污染因子为二甲苯和甲苯，此外还有极少量的汽油、丁醇和丙醇等。</w:t>
            </w:r>
          </w:p>
          <w:p>
            <w:pPr>
              <w:pStyle w:val="31"/>
              <w:rPr>
                <w:color w:val="auto"/>
              </w:rPr>
            </w:pPr>
            <w:r>
              <w:rPr>
                <w:rFonts w:hint="eastAsia"/>
                <w:color w:val="auto"/>
              </w:rPr>
              <w:t>装修废气污染物的排放浓度和排放量与装修面积和程度、装修材料等因素有关，一般来说，装修废气的挥发浓度较低，持续时间长，影响范围小，环评要求在场地装修及投入使用前每天进行通风换气，使用前应进行室内空气质量的监测，确保场地投入使用时室内空气中各污染物达标。为进一步降低装修阶段有机污染，建设单位应选用水性涂料，乳胶油漆应采用含固率高的环保产品。</w:t>
            </w:r>
          </w:p>
          <w:p>
            <w:pPr>
              <w:pStyle w:val="31"/>
              <w:ind w:firstLine="482"/>
              <w:rPr>
                <w:b/>
                <w:color w:val="auto"/>
              </w:rPr>
            </w:pPr>
            <w:r>
              <w:rPr>
                <w:rFonts w:hint="eastAsia"/>
                <w:b/>
                <w:color w:val="auto"/>
              </w:rPr>
              <w:t>5.1.2.3施工期噪声污染源分析</w:t>
            </w:r>
          </w:p>
          <w:p>
            <w:pPr>
              <w:pStyle w:val="31"/>
              <w:rPr>
                <w:color w:val="auto"/>
              </w:rPr>
            </w:pPr>
            <w:r>
              <w:rPr>
                <w:rFonts w:hint="eastAsia"/>
                <w:color w:val="auto"/>
              </w:rPr>
              <w:t>本工程施工期主要是施工期噪声污染源包括施工机械噪声、运输车辆噪声。</w:t>
            </w:r>
          </w:p>
          <w:p>
            <w:pPr>
              <w:pStyle w:val="31"/>
              <w:rPr>
                <w:color w:val="auto"/>
              </w:rPr>
            </w:pPr>
            <w:r>
              <w:rPr>
                <w:rFonts w:hint="eastAsia"/>
                <w:color w:val="auto"/>
              </w:rPr>
              <w:t>（1）施工机械噪声</w:t>
            </w:r>
          </w:p>
          <w:p>
            <w:pPr>
              <w:pStyle w:val="31"/>
              <w:rPr>
                <w:color w:val="auto"/>
              </w:rPr>
            </w:pPr>
            <w:r>
              <w:rPr>
                <w:color w:val="auto"/>
              </w:rPr>
              <w:t>作业机械运行时噪声较高，这些非稳态噪声源将对周围环境产生较大的影响，建设期主要施工机械设备的噪声源强见</w:t>
            </w:r>
            <w:r>
              <w:rPr>
                <w:color w:val="auto"/>
              </w:rPr>
              <w:fldChar w:fldCharType="begin"/>
            </w:r>
            <w:r>
              <w:rPr>
                <w:color w:val="auto"/>
              </w:rPr>
              <w:instrText xml:space="preserve"> REF _Ref491336984 \h  \* MERGEFORMAT </w:instrText>
            </w:r>
            <w:r>
              <w:rPr>
                <w:color w:val="auto"/>
              </w:rPr>
              <w:fldChar w:fldCharType="separate"/>
            </w:r>
            <w:r>
              <w:rPr>
                <w:rFonts w:hint="eastAsia"/>
                <w:color w:val="auto"/>
              </w:rPr>
              <w:t>表5-</w:t>
            </w:r>
            <w:r>
              <w:rPr>
                <w:color w:val="auto"/>
              </w:rPr>
              <w:t>3</w:t>
            </w:r>
            <w:r>
              <w:rPr>
                <w:color w:val="auto"/>
              </w:rPr>
              <w:fldChar w:fldCharType="end"/>
            </w:r>
            <w:r>
              <w:rPr>
                <w:color w:val="auto"/>
              </w:rPr>
              <w:t>。</w:t>
            </w:r>
          </w:p>
          <w:p>
            <w:pPr>
              <w:spacing w:line="360" w:lineRule="auto"/>
              <w:ind w:firstLine="422" w:firstLineChars="200"/>
              <w:jc w:val="center"/>
              <w:rPr>
                <w:rFonts w:ascii="Times New Roman" w:hAnsi="Times New Roman" w:cs="Times New Roman"/>
                <w:b/>
                <w:bCs/>
              </w:rPr>
            </w:pPr>
            <w:bookmarkStart w:id="51" w:name="_Ref491336984"/>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3</w:t>
            </w:r>
            <w:r>
              <w:rPr>
                <w:rFonts w:ascii="Times New Roman" w:hAnsi="Times New Roman" w:cs="Times New Roman"/>
                <w:b/>
                <w:bCs/>
              </w:rPr>
              <w:fldChar w:fldCharType="end"/>
            </w:r>
            <w:bookmarkEnd w:id="51"/>
            <w:r>
              <w:rPr>
                <w:rFonts w:hint="eastAsia" w:ascii="Times New Roman" w:hAnsi="Times New Roman" w:cs="Times New Roman"/>
                <w:b/>
                <w:bCs/>
              </w:rPr>
              <w:t xml:space="preserve"> </w:t>
            </w:r>
            <w:r>
              <w:rPr>
                <w:rFonts w:ascii="Times New Roman" w:hAnsi="Times New Roman" w:cs="Times New Roman"/>
                <w:b/>
                <w:bCs/>
              </w:rPr>
              <w:t xml:space="preserve">  施工阶段</w:t>
            </w:r>
            <w:r>
              <w:rPr>
                <w:rFonts w:hint="eastAsia" w:ascii="Times New Roman" w:hAnsi="Times New Roman" w:cs="Times New Roman"/>
                <w:b/>
                <w:bCs/>
              </w:rPr>
              <w:t>施工机械噪声源及源强</w:t>
            </w:r>
          </w:p>
          <w:tbl>
            <w:tblPr>
              <w:tblStyle w:val="25"/>
              <w:tblW w:w="8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276"/>
              <w:gridCol w:w="1276"/>
              <w:gridCol w:w="1134"/>
              <w:gridCol w:w="2126"/>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施工阶段</w:t>
                  </w:r>
                </w:p>
              </w:tc>
              <w:tc>
                <w:tcPr>
                  <w:tcW w:w="2276"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声源</w:t>
                  </w:r>
                </w:p>
              </w:tc>
              <w:tc>
                <w:tcPr>
                  <w:tcW w:w="1276"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声源强度</w:t>
                  </w:r>
                </w:p>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dB（A）</w:t>
                  </w:r>
                </w:p>
              </w:tc>
              <w:tc>
                <w:tcPr>
                  <w:tcW w:w="1134"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施工阶段</w:t>
                  </w:r>
                </w:p>
              </w:tc>
              <w:tc>
                <w:tcPr>
                  <w:tcW w:w="2126"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声源</w:t>
                  </w:r>
                </w:p>
              </w:tc>
              <w:tc>
                <w:tcPr>
                  <w:tcW w:w="1424" w:type="dxa"/>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声源强度</w:t>
                  </w:r>
                </w:p>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restart"/>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土石方阶段</w:t>
                  </w: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挖土机</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78～96</w:t>
                  </w:r>
                </w:p>
              </w:tc>
              <w:tc>
                <w:tcPr>
                  <w:tcW w:w="1134" w:type="dxa"/>
                  <w:vMerge w:val="restart"/>
                  <w:vAlign w:val="center"/>
                </w:tcPr>
                <w:p>
                  <w:pPr>
                    <w:overflowPunct w:val="0"/>
                    <w:autoSpaceDE w:val="0"/>
                    <w:autoSpaceDN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装修</w:t>
                  </w:r>
                  <w:r>
                    <w:rPr>
                      <w:rFonts w:ascii="Times New Roman" w:hAnsi="Times New Roman" w:cs="Times New Roman"/>
                      <w:szCs w:val="21"/>
                    </w:rPr>
                    <w:t>及安装阶段</w:t>
                  </w: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电</w:t>
                  </w:r>
                </w:p>
              </w:tc>
              <w:tc>
                <w:tcPr>
                  <w:tcW w:w="1424"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空压机</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75～85</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电锤</w:t>
                  </w:r>
                </w:p>
              </w:tc>
              <w:tc>
                <w:tcPr>
                  <w:tcW w:w="1424" w:type="dxa"/>
                  <w:vAlign w:val="center"/>
                </w:tcPr>
                <w:p>
                  <w:pPr>
                    <w:pStyle w:val="48"/>
                    <w:overflowPunct w:val="0"/>
                    <w:autoSpaceDE w:val="0"/>
                    <w:autoSpaceDN w:val="0"/>
                    <w:adjustRightInd/>
                    <w:textAlignment w:val="baseline"/>
                    <w:rPr>
                      <w:rFonts w:ascii="Times New Roman" w:hAnsi="Times New Roman" w:cs="Times New Roman"/>
                      <w:szCs w:val="21"/>
                    </w:rPr>
                  </w:pPr>
                  <w:r>
                    <w:rPr>
                      <w:rFonts w:ascii="Times New Roman" w:hAnsi="Times New Roman" w:cs="Times New Roman"/>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大型载重车</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84～89</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手工钻</w:t>
                  </w:r>
                </w:p>
              </w:tc>
              <w:tc>
                <w:tcPr>
                  <w:tcW w:w="1424" w:type="dxa"/>
                  <w:vAlign w:val="center"/>
                </w:tcPr>
                <w:p>
                  <w:pPr>
                    <w:pStyle w:val="48"/>
                    <w:overflowPunct w:val="0"/>
                    <w:autoSpaceDE w:val="0"/>
                    <w:autoSpaceDN w:val="0"/>
                    <w:adjustRightInd/>
                    <w:textAlignment w:val="baseline"/>
                    <w:rPr>
                      <w:rFonts w:ascii="Times New Roman" w:hAnsi="Times New Roman" w:cs="Times New Roman"/>
                      <w:szCs w:val="21"/>
                    </w:rPr>
                  </w:pPr>
                  <w:r>
                    <w:rPr>
                      <w:rFonts w:ascii="Times New Roman" w:hAnsi="Times New Roman" w:cs="Times New Roman"/>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无齿锯</w:t>
                  </w:r>
                </w:p>
              </w:tc>
              <w:tc>
                <w:tcPr>
                  <w:tcW w:w="1424" w:type="dxa"/>
                  <w:vAlign w:val="center"/>
                </w:tcPr>
                <w:p>
                  <w:pPr>
                    <w:pStyle w:val="48"/>
                    <w:overflowPunct w:val="0"/>
                    <w:autoSpaceDE w:val="0"/>
                    <w:autoSpaceDN w:val="0"/>
                    <w:adjustRightInd/>
                    <w:textAlignment w:val="baseline"/>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hint="eastAsia" w:ascii="Times New Roman" w:hAnsi="Times New Roman" w:cs="Times New Roman"/>
                      <w:szCs w:val="21"/>
                    </w:rPr>
                    <w:t>/</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多功能木工刨</w:t>
                  </w:r>
                </w:p>
              </w:tc>
              <w:tc>
                <w:tcPr>
                  <w:tcW w:w="1424" w:type="dxa"/>
                  <w:vAlign w:val="center"/>
                </w:tcPr>
                <w:p>
                  <w:pPr>
                    <w:pStyle w:val="48"/>
                    <w:overflowPunct w:val="0"/>
                    <w:autoSpaceDE w:val="0"/>
                    <w:autoSpaceDN w:val="0"/>
                    <w:adjustRightInd/>
                    <w:textAlignment w:val="baseline"/>
                    <w:rPr>
                      <w:rFonts w:ascii="Times New Roman" w:hAnsi="Times New Roman" w:cs="Times New Roman"/>
                      <w:szCs w:val="21"/>
                    </w:rPr>
                  </w:pPr>
                  <w:r>
                    <w:rPr>
                      <w:rFonts w:ascii="Times New Roman" w:hAnsi="Times New Roman" w:cs="Times New Roman"/>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restart"/>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底板与结构阶段</w:t>
                  </w: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振捣器</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100～105</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云石机</w:t>
                  </w:r>
                </w:p>
              </w:tc>
              <w:tc>
                <w:tcPr>
                  <w:tcW w:w="1424" w:type="dxa"/>
                  <w:vAlign w:val="center"/>
                </w:tcPr>
                <w:p>
                  <w:pPr>
                    <w:pStyle w:val="48"/>
                    <w:overflowPunct w:val="0"/>
                    <w:autoSpaceDE w:val="0"/>
                    <w:autoSpaceDN w:val="0"/>
                    <w:adjustRightInd/>
                    <w:textAlignment w:val="baseline"/>
                    <w:rPr>
                      <w:rFonts w:ascii="Times New Roman" w:hAnsi="Times New Roman" w:cs="Times New Roman"/>
                      <w:szCs w:val="21"/>
                    </w:rPr>
                  </w:pPr>
                  <w:r>
                    <w:rPr>
                      <w:rFonts w:ascii="Times New Roman" w:hAnsi="Times New Roman" w:cs="Times New Roman"/>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电锯</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100～105</w:t>
                  </w:r>
                </w:p>
              </w:tc>
              <w:tc>
                <w:tcPr>
                  <w:tcW w:w="1134" w:type="dxa"/>
                  <w:vMerge w:val="continue"/>
                  <w:vAlign w:val="center"/>
                </w:tcPr>
                <w:p>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角向磨光机</w:t>
                  </w:r>
                </w:p>
              </w:tc>
              <w:tc>
                <w:tcPr>
                  <w:tcW w:w="1424"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100～115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snapToGrid w:val="0"/>
                    <w:jc w:val="center"/>
                    <w:rPr>
                      <w:rFonts w:ascii="Times New Roman" w:hAnsi="Times New Roman" w:eastAsia="宋体" w:cs="Times New Roman"/>
                      <w:kern w:val="0"/>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电焊机</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90～95</w:t>
                  </w:r>
                </w:p>
              </w:tc>
              <w:tc>
                <w:tcPr>
                  <w:tcW w:w="1134" w:type="dxa"/>
                  <w:vMerge w:val="continue"/>
                  <w:vAlign w:val="center"/>
                </w:tcPr>
                <w:p>
                  <w:pPr>
                    <w:snapToGrid w:val="0"/>
                    <w:jc w:val="center"/>
                    <w:rPr>
                      <w:rFonts w:ascii="Times New Roman" w:hAnsi="Times New Roman" w:eastAsia="宋体" w:cs="Times New Roman"/>
                      <w:kern w:val="0"/>
                      <w:szCs w:val="21"/>
                    </w:rPr>
                  </w:pPr>
                </w:p>
              </w:tc>
              <w:tc>
                <w:tcPr>
                  <w:tcW w:w="2126" w:type="dxa"/>
                  <w:vMerge w:val="restart"/>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轻型载重车</w:t>
                  </w:r>
                </w:p>
              </w:tc>
              <w:tc>
                <w:tcPr>
                  <w:tcW w:w="1424" w:type="dxa"/>
                  <w:vMerge w:val="restart"/>
                  <w:vAlign w:val="center"/>
                </w:tcPr>
                <w:p>
                  <w:pPr>
                    <w:pStyle w:val="48"/>
                    <w:adjustRightInd/>
                    <w:rPr>
                      <w:rFonts w:ascii="Times New Roman" w:hAnsi="Times New Roman" w:cs="Times New Roman"/>
                      <w:szCs w:val="21"/>
                    </w:rPr>
                  </w:pPr>
                  <w:r>
                    <w:rPr>
                      <w:rFonts w:ascii="Times New Roman" w:hAnsi="Times New Roman" w:cs="Times New Roman"/>
                      <w:szCs w:val="21"/>
                    </w:rPr>
                    <w:t>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6" w:type="dxa"/>
                  <w:vMerge w:val="continue"/>
                  <w:vAlign w:val="center"/>
                </w:tcPr>
                <w:p>
                  <w:pPr>
                    <w:snapToGrid w:val="0"/>
                    <w:jc w:val="center"/>
                    <w:rPr>
                      <w:rFonts w:ascii="Times New Roman" w:hAnsi="Times New Roman" w:eastAsia="宋体" w:cs="Times New Roman"/>
                      <w:kern w:val="0"/>
                      <w:szCs w:val="21"/>
                    </w:rPr>
                  </w:pPr>
                </w:p>
              </w:tc>
              <w:tc>
                <w:tcPr>
                  <w:tcW w:w="2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空压机</w:t>
                  </w:r>
                </w:p>
              </w:tc>
              <w:tc>
                <w:tcPr>
                  <w:tcW w:w="1276" w:type="dxa"/>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75～85</w:t>
                  </w:r>
                </w:p>
              </w:tc>
              <w:tc>
                <w:tcPr>
                  <w:tcW w:w="1134" w:type="dxa"/>
                  <w:vMerge w:val="continue"/>
                  <w:vAlign w:val="center"/>
                </w:tcPr>
                <w:p>
                  <w:pPr>
                    <w:snapToGrid w:val="0"/>
                    <w:jc w:val="center"/>
                    <w:rPr>
                      <w:rFonts w:ascii="Times New Roman" w:hAnsi="Times New Roman" w:eastAsia="宋体" w:cs="Times New Roman"/>
                      <w:kern w:val="0"/>
                      <w:szCs w:val="21"/>
                    </w:rPr>
                  </w:pPr>
                </w:p>
              </w:tc>
              <w:tc>
                <w:tcPr>
                  <w:tcW w:w="2126" w:type="dxa"/>
                  <w:vMerge w:val="continue"/>
                  <w:vAlign w:val="center"/>
                </w:tcPr>
                <w:p>
                  <w:pPr>
                    <w:snapToGrid w:val="0"/>
                    <w:jc w:val="center"/>
                    <w:rPr>
                      <w:rFonts w:ascii="Times New Roman" w:hAnsi="Times New Roman" w:eastAsia="宋体" w:cs="Times New Roman"/>
                      <w:kern w:val="0"/>
                      <w:szCs w:val="21"/>
                    </w:rPr>
                  </w:pPr>
                </w:p>
              </w:tc>
              <w:tc>
                <w:tcPr>
                  <w:tcW w:w="1424" w:type="dxa"/>
                  <w:vMerge w:val="continue"/>
                  <w:vAlign w:val="center"/>
                </w:tcPr>
                <w:p>
                  <w:pPr>
                    <w:snapToGrid w:val="0"/>
                    <w:jc w:val="center"/>
                    <w:rPr>
                      <w:rFonts w:ascii="Times New Roman" w:hAnsi="Times New Roman" w:eastAsia="宋体" w:cs="Times New Roman"/>
                      <w:kern w:val="0"/>
                      <w:szCs w:val="21"/>
                    </w:rPr>
                  </w:pPr>
                </w:p>
              </w:tc>
            </w:tr>
          </w:tbl>
          <w:p>
            <w:pPr>
              <w:pStyle w:val="31"/>
              <w:rPr>
                <w:color w:val="auto"/>
              </w:rPr>
            </w:pPr>
            <w:r>
              <w:rPr>
                <w:rFonts w:hint="eastAsia"/>
                <w:color w:val="auto"/>
              </w:rPr>
              <w:t>（2）运输车辆噪声</w:t>
            </w:r>
          </w:p>
          <w:p>
            <w:pPr>
              <w:pStyle w:val="31"/>
              <w:rPr>
                <w:color w:val="auto"/>
              </w:rPr>
            </w:pPr>
            <w:r>
              <w:rPr>
                <w:rFonts w:hint="eastAsia"/>
                <w:color w:val="auto"/>
              </w:rPr>
              <w:t>施工期主要为挖土机、轻型载重卡车等产生的噪声，运输车辆产生的噪声将对运输道路沿线环境造成影响，噪声源强见</w:t>
            </w:r>
            <w:r>
              <w:rPr>
                <w:color w:val="auto"/>
              </w:rPr>
              <w:fldChar w:fldCharType="begin"/>
            </w:r>
            <w:r>
              <w:rPr>
                <w:color w:val="auto"/>
              </w:rPr>
              <w:instrText xml:space="preserve"> </w:instrText>
            </w:r>
            <w:r>
              <w:rPr>
                <w:rFonts w:hint="eastAsia"/>
                <w:color w:val="auto"/>
              </w:rPr>
              <w:instrText xml:space="preserve">REF _Ref491337393 \h</w:instrText>
            </w:r>
            <w:r>
              <w:rPr>
                <w:color w:val="auto"/>
              </w:rPr>
              <w:instrText xml:space="preserve">  \* MERGEFORMAT </w:instrText>
            </w:r>
            <w:r>
              <w:rPr>
                <w:color w:val="auto"/>
              </w:rPr>
              <w:fldChar w:fldCharType="separate"/>
            </w:r>
            <w:r>
              <w:rPr>
                <w:rFonts w:hint="eastAsia"/>
                <w:color w:val="auto"/>
              </w:rPr>
              <w:t>表5-</w:t>
            </w:r>
            <w:r>
              <w:rPr>
                <w:color w:val="auto"/>
              </w:rPr>
              <w:t>4</w:t>
            </w:r>
            <w:r>
              <w:rPr>
                <w:color w:val="auto"/>
              </w:rPr>
              <w:fldChar w:fldCharType="end"/>
            </w:r>
            <w:r>
              <w:rPr>
                <w:rFonts w:hint="eastAsia"/>
                <w:color w:val="auto"/>
              </w:rPr>
              <w:t>。</w:t>
            </w:r>
          </w:p>
          <w:p>
            <w:pPr>
              <w:pStyle w:val="31"/>
              <w:ind w:firstLine="0" w:firstLineChars="0"/>
              <w:jc w:val="center"/>
              <w:rPr>
                <w:rFonts w:cs="Times New Roman"/>
                <w:b/>
                <w:color w:val="auto"/>
                <w:sz w:val="21"/>
                <w:lang w:val="zh-CN"/>
              </w:rPr>
            </w:pPr>
            <w:bookmarkStart w:id="52" w:name="_Ref491337393"/>
            <w:r>
              <w:rPr>
                <w:rFonts w:hint="eastAsia" w:cs="Times New Roman"/>
                <w:b/>
                <w:bCs/>
                <w:color w:val="auto"/>
                <w:sz w:val="21"/>
              </w:rPr>
              <w:t>表5-</w:t>
            </w:r>
            <w:r>
              <w:rPr>
                <w:rFonts w:cs="Times New Roman"/>
                <w:b/>
                <w:bCs/>
                <w:color w:val="auto"/>
                <w:sz w:val="21"/>
              </w:rPr>
              <w:fldChar w:fldCharType="begin"/>
            </w:r>
            <w:r>
              <w:rPr>
                <w:rFonts w:cs="Times New Roman"/>
                <w:b/>
                <w:bCs/>
                <w:color w:val="auto"/>
                <w:sz w:val="21"/>
              </w:rPr>
              <w:instrText xml:space="preserve"> </w:instrText>
            </w:r>
            <w:r>
              <w:rPr>
                <w:rFonts w:hint="eastAsia" w:cs="Times New Roman"/>
                <w:b/>
                <w:bCs/>
                <w:color w:val="auto"/>
                <w:sz w:val="21"/>
              </w:rPr>
              <w:instrText xml:space="preserve">SEQ 表5- \* ARABIC</w:instrText>
            </w:r>
            <w:r>
              <w:rPr>
                <w:rFonts w:cs="Times New Roman"/>
                <w:b/>
                <w:bCs/>
                <w:color w:val="auto"/>
                <w:sz w:val="21"/>
              </w:rPr>
              <w:instrText xml:space="preserve"> </w:instrText>
            </w:r>
            <w:r>
              <w:rPr>
                <w:rFonts w:cs="Times New Roman"/>
                <w:b/>
                <w:bCs/>
                <w:color w:val="auto"/>
                <w:sz w:val="21"/>
              </w:rPr>
              <w:fldChar w:fldCharType="separate"/>
            </w:r>
            <w:r>
              <w:rPr>
                <w:rFonts w:cs="Times New Roman"/>
                <w:b/>
                <w:bCs/>
                <w:color w:val="auto"/>
                <w:sz w:val="21"/>
              </w:rPr>
              <w:t>4</w:t>
            </w:r>
            <w:r>
              <w:rPr>
                <w:rFonts w:cs="Times New Roman"/>
                <w:b/>
                <w:bCs/>
                <w:color w:val="auto"/>
                <w:sz w:val="21"/>
              </w:rPr>
              <w:fldChar w:fldCharType="end"/>
            </w:r>
            <w:bookmarkEnd w:id="52"/>
            <w:r>
              <w:rPr>
                <w:rFonts w:cs="Times New Roman"/>
                <w:b/>
                <w:color w:val="auto"/>
                <w:sz w:val="21"/>
                <w:lang w:val="zh-CN"/>
              </w:rPr>
              <w:t xml:space="preserve">  </w:t>
            </w:r>
            <w:r>
              <w:rPr>
                <w:rFonts w:hint="eastAsia" w:cs="Times New Roman"/>
                <w:b/>
                <w:color w:val="auto"/>
                <w:sz w:val="21"/>
                <w:lang w:val="zh-CN"/>
              </w:rPr>
              <w:t xml:space="preserve"> 施工阶段运输车辆噪声源及源强</w:t>
            </w:r>
          </w:p>
          <w:tbl>
            <w:tblPr>
              <w:tblStyle w:val="25"/>
              <w:tblW w:w="8980" w:type="dxa"/>
              <w:tblInd w:w="0" w:type="dxa"/>
              <w:tblLayout w:type="fixed"/>
              <w:tblCellMar>
                <w:top w:w="0" w:type="dxa"/>
                <w:left w:w="108" w:type="dxa"/>
                <w:bottom w:w="0" w:type="dxa"/>
                <w:right w:w="108" w:type="dxa"/>
              </w:tblCellMar>
            </w:tblPr>
            <w:tblGrid>
              <w:gridCol w:w="2921"/>
              <w:gridCol w:w="2461"/>
              <w:gridCol w:w="2126"/>
              <w:gridCol w:w="1472"/>
            </w:tblGrid>
            <w:tr>
              <w:tblPrEx>
                <w:tblLayout w:type="fixed"/>
                <w:tblCellMar>
                  <w:top w:w="0" w:type="dxa"/>
                  <w:left w:w="108" w:type="dxa"/>
                  <w:bottom w:w="0" w:type="dxa"/>
                  <w:right w:w="108" w:type="dxa"/>
                </w:tblCellMar>
              </w:tblPrEx>
              <w:trPr>
                <w:trHeight w:val="397" w:hRule="atLeast"/>
                <w:tblHeader/>
              </w:trPr>
              <w:tc>
                <w:tcPr>
                  <w:tcW w:w="292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施工阶段</w:t>
                  </w:r>
                </w:p>
              </w:tc>
              <w:tc>
                <w:tcPr>
                  <w:tcW w:w="2461"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运输内容</w:t>
                  </w:r>
                </w:p>
              </w:tc>
              <w:tc>
                <w:tcPr>
                  <w:tcW w:w="2126"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车辆类型</w:t>
                  </w:r>
                </w:p>
              </w:tc>
              <w:tc>
                <w:tcPr>
                  <w:tcW w:w="1472"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b/>
                      <w:szCs w:val="21"/>
                    </w:rPr>
                  </w:pPr>
                  <w:r>
                    <w:rPr>
                      <w:rFonts w:ascii="Times New Roman" w:hAnsi="Times New Roman" w:cs="Times New Roman"/>
                      <w:b/>
                      <w:szCs w:val="21"/>
                    </w:rPr>
                    <w:t>声源强度</w:t>
                  </w:r>
                </w:p>
              </w:tc>
            </w:tr>
            <w:tr>
              <w:tblPrEx>
                <w:tblLayout w:type="fixed"/>
                <w:tblCellMar>
                  <w:top w:w="0" w:type="dxa"/>
                  <w:left w:w="108" w:type="dxa"/>
                  <w:bottom w:w="0" w:type="dxa"/>
                  <w:right w:w="108" w:type="dxa"/>
                </w:tblCellMar>
              </w:tblPrEx>
              <w:trPr>
                <w:trHeight w:val="397" w:hRule="atLeast"/>
              </w:trPr>
              <w:tc>
                <w:tcPr>
                  <w:tcW w:w="292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场地平整、地基开挖阶段</w:t>
                  </w:r>
                </w:p>
              </w:tc>
              <w:tc>
                <w:tcPr>
                  <w:tcW w:w="2461"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运输挖方</w:t>
                  </w:r>
                </w:p>
              </w:tc>
              <w:tc>
                <w:tcPr>
                  <w:tcW w:w="2126"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大型载重车</w:t>
                  </w:r>
                </w:p>
              </w:tc>
              <w:tc>
                <w:tcPr>
                  <w:tcW w:w="1472"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84~89</w:t>
                  </w:r>
                </w:p>
              </w:tc>
            </w:tr>
            <w:tr>
              <w:tblPrEx>
                <w:tblLayout w:type="fixed"/>
                <w:tblCellMar>
                  <w:top w:w="0" w:type="dxa"/>
                  <w:left w:w="108" w:type="dxa"/>
                  <w:bottom w:w="0" w:type="dxa"/>
                  <w:right w:w="108" w:type="dxa"/>
                </w:tblCellMar>
              </w:tblPrEx>
              <w:trPr>
                <w:trHeight w:val="397" w:hRule="atLeast"/>
              </w:trPr>
              <w:tc>
                <w:tcPr>
                  <w:tcW w:w="292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底板及</w:t>
                  </w:r>
                  <w:r>
                    <w:rPr>
                      <w:rFonts w:hint="eastAsia" w:ascii="Times New Roman" w:hAnsi="Times New Roman" w:cs="Times New Roman"/>
                      <w:szCs w:val="21"/>
                    </w:rPr>
                    <w:t>结构</w:t>
                  </w:r>
                  <w:r>
                    <w:rPr>
                      <w:rFonts w:ascii="Times New Roman" w:hAnsi="Times New Roman" w:cs="Times New Roman"/>
                      <w:szCs w:val="21"/>
                    </w:rPr>
                    <w:t>阶段</w:t>
                  </w:r>
                </w:p>
              </w:tc>
              <w:tc>
                <w:tcPr>
                  <w:tcW w:w="2461"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钢筋</w:t>
                  </w:r>
                  <w:r>
                    <w:rPr>
                      <w:rFonts w:hint="eastAsia" w:ascii="Times New Roman" w:hAnsi="Times New Roman" w:cs="Times New Roman"/>
                      <w:szCs w:val="21"/>
                    </w:rPr>
                    <w:t>等建材</w:t>
                  </w:r>
                </w:p>
              </w:tc>
              <w:tc>
                <w:tcPr>
                  <w:tcW w:w="2126"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载重车</w:t>
                  </w:r>
                </w:p>
              </w:tc>
              <w:tc>
                <w:tcPr>
                  <w:tcW w:w="1472"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80~85</w:t>
                  </w:r>
                </w:p>
              </w:tc>
            </w:tr>
            <w:tr>
              <w:tblPrEx>
                <w:tblLayout w:type="fixed"/>
                <w:tblCellMar>
                  <w:top w:w="0" w:type="dxa"/>
                  <w:left w:w="108" w:type="dxa"/>
                  <w:bottom w:w="0" w:type="dxa"/>
                  <w:right w:w="108" w:type="dxa"/>
                </w:tblCellMar>
              </w:tblPrEx>
              <w:trPr>
                <w:trHeight w:val="397" w:hRule="atLeast"/>
              </w:trPr>
              <w:tc>
                <w:tcPr>
                  <w:tcW w:w="292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装修阶</w:t>
                  </w:r>
                </w:p>
              </w:tc>
              <w:tc>
                <w:tcPr>
                  <w:tcW w:w="2461"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各种装修材料及</w:t>
                  </w:r>
                  <w:r>
                    <w:rPr>
                      <w:rFonts w:hint="eastAsia" w:ascii="Times New Roman" w:hAnsi="Times New Roman" w:cs="Times New Roman"/>
                      <w:szCs w:val="21"/>
                    </w:rPr>
                    <w:t>生产</w:t>
                  </w:r>
                  <w:r>
                    <w:rPr>
                      <w:rFonts w:ascii="Times New Roman" w:hAnsi="Times New Roman" w:cs="Times New Roman"/>
                      <w:szCs w:val="21"/>
                    </w:rPr>
                    <w:t>设备</w:t>
                  </w:r>
                </w:p>
              </w:tc>
              <w:tc>
                <w:tcPr>
                  <w:tcW w:w="2126"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轻型载重卡车</w:t>
                  </w:r>
                </w:p>
              </w:tc>
              <w:tc>
                <w:tcPr>
                  <w:tcW w:w="1472" w:type="dxa"/>
                  <w:tcBorders>
                    <w:top w:val="single" w:color="auto" w:sz="4" w:space="0"/>
                    <w:left w:val="nil"/>
                    <w:bottom w:val="single" w:color="auto" w:sz="4" w:space="0"/>
                    <w:right w:val="single" w:color="auto" w:sz="4" w:space="0"/>
                  </w:tcBorders>
                  <w:vAlign w:val="center"/>
                </w:tcPr>
                <w:p>
                  <w:pPr>
                    <w:overflowPunct w:val="0"/>
                    <w:autoSpaceDE w:val="0"/>
                    <w:autoSpaceDN w:val="0"/>
                    <w:snapToGrid w:val="0"/>
                    <w:jc w:val="center"/>
                    <w:textAlignment w:val="baseline"/>
                    <w:rPr>
                      <w:rFonts w:ascii="Times New Roman" w:hAnsi="Times New Roman" w:cs="Times New Roman"/>
                      <w:szCs w:val="21"/>
                    </w:rPr>
                  </w:pPr>
                  <w:r>
                    <w:rPr>
                      <w:rFonts w:ascii="Times New Roman" w:hAnsi="Times New Roman" w:cs="Times New Roman"/>
                      <w:szCs w:val="21"/>
                    </w:rPr>
                    <w:t>75~80</w:t>
                  </w:r>
                </w:p>
              </w:tc>
            </w:tr>
          </w:tbl>
          <w:p>
            <w:pPr>
              <w:pStyle w:val="31"/>
              <w:ind w:firstLine="482"/>
              <w:rPr>
                <w:b/>
                <w:color w:val="auto"/>
              </w:rPr>
            </w:pPr>
            <w:r>
              <w:rPr>
                <w:rFonts w:hint="eastAsia"/>
                <w:b/>
                <w:color w:val="auto"/>
              </w:rPr>
              <w:t>5.1.2.4施工期固废污染源分析</w:t>
            </w:r>
          </w:p>
          <w:p>
            <w:pPr>
              <w:pStyle w:val="31"/>
              <w:rPr>
                <w:color w:val="auto"/>
              </w:rPr>
            </w:pPr>
            <w:r>
              <w:rPr>
                <w:rFonts w:hint="eastAsia"/>
                <w:color w:val="auto"/>
              </w:rPr>
              <w:t>项目施工期间产生的固体废物主要包括开挖渣土、建设过程中的建筑垃圾和装修施工过程中产生的装修施工废弃物料以及少量施工人员产生的生活垃圾。施工人员生活垃圾要严格管理，统一外运。在工程竣工后，施工单位应负责将工地的剩余建筑垃圾处理干净，建设单位应负责督促施工单位的固体废弃物处置清理工作。生活垃圾由环卫部门收集送至垃圾处置场统一处理。</w:t>
            </w:r>
          </w:p>
          <w:p>
            <w:pPr>
              <w:pStyle w:val="31"/>
              <w:rPr>
                <w:color w:val="auto"/>
              </w:rPr>
            </w:pPr>
            <w:r>
              <w:rPr>
                <w:rFonts w:hint="eastAsia"/>
                <w:color w:val="auto"/>
              </w:rPr>
              <w:t>（1）施工弃渣</w:t>
            </w:r>
          </w:p>
          <w:p>
            <w:pPr>
              <w:pStyle w:val="31"/>
              <w:rPr>
                <w:color w:val="auto"/>
              </w:rPr>
            </w:pPr>
            <w:r>
              <w:rPr>
                <w:rFonts w:hint="eastAsia"/>
                <w:color w:val="auto"/>
              </w:rPr>
              <w:t>根据建设单位提供的资料，施工期基础工程挖土方量与回填土方量工程弃土在场内周转，除用于就地平衡、用于绿地和道路等建设外，剩余的少量弃土外运至市政指定弃土场。</w:t>
            </w:r>
          </w:p>
          <w:p>
            <w:pPr>
              <w:pStyle w:val="31"/>
              <w:rPr>
                <w:color w:val="auto"/>
              </w:rPr>
            </w:pPr>
            <w:r>
              <w:rPr>
                <w:rFonts w:hint="eastAsia"/>
                <w:color w:val="auto"/>
              </w:rPr>
              <w:t>（2）建筑垃圾和装修固废</w:t>
            </w:r>
          </w:p>
          <w:p>
            <w:pPr>
              <w:pStyle w:val="31"/>
              <w:rPr>
                <w:color w:val="auto"/>
              </w:rPr>
            </w:pPr>
            <w:r>
              <w:rPr>
                <w:rFonts w:hint="eastAsia"/>
                <w:color w:val="auto"/>
              </w:rPr>
              <w:t>根据经验类比，施工建筑垃圾和装修固废产生系数为20～50kg/m</w:t>
            </w:r>
            <w:r>
              <w:rPr>
                <w:rFonts w:hint="eastAsia"/>
                <w:color w:val="auto"/>
                <w:vertAlign w:val="superscript"/>
              </w:rPr>
              <w:t>2</w:t>
            </w:r>
            <w:r>
              <w:rPr>
                <w:rFonts w:hint="eastAsia"/>
                <w:color w:val="auto"/>
              </w:rPr>
              <w:t>，本项目取30kg/m</w:t>
            </w:r>
            <w:r>
              <w:rPr>
                <w:rFonts w:hint="eastAsia"/>
                <w:color w:val="auto"/>
                <w:vertAlign w:val="superscript"/>
              </w:rPr>
              <w:t>2</w:t>
            </w:r>
            <w:r>
              <w:rPr>
                <w:rFonts w:hint="eastAsia"/>
                <w:color w:val="auto"/>
              </w:rPr>
              <w:t>，本项目总建筑物面积约4800m</w:t>
            </w:r>
            <w:r>
              <w:rPr>
                <w:rFonts w:hint="eastAsia"/>
                <w:color w:val="auto"/>
                <w:vertAlign w:val="superscript"/>
              </w:rPr>
              <w:t>2</w:t>
            </w:r>
            <w:r>
              <w:rPr>
                <w:rFonts w:hint="eastAsia"/>
                <w:color w:val="auto"/>
              </w:rPr>
              <w:t>，则施工建筑垃圾和装修固废产生量约144t。按照国家有建筑垃圾处理的相关规定要求，在施工完成后由建设单位或施工单位负责清运施工场地固体废物，环评要求将建筑垃圾至市政指定弃土场，严禁乱堆乱放，装修过程中产生的少量废机油和废油漆桶等属于危险废物，应交由有资质单位处置。</w:t>
            </w:r>
          </w:p>
          <w:p>
            <w:pPr>
              <w:pStyle w:val="31"/>
              <w:rPr>
                <w:color w:val="auto"/>
              </w:rPr>
            </w:pPr>
            <w:r>
              <w:rPr>
                <w:rFonts w:hint="eastAsia"/>
                <w:color w:val="auto"/>
              </w:rPr>
              <w:t>（3）生活垃圾</w:t>
            </w:r>
          </w:p>
          <w:p>
            <w:pPr>
              <w:pStyle w:val="31"/>
              <w:rPr>
                <w:color w:val="auto"/>
              </w:rPr>
            </w:pPr>
            <w:r>
              <w:rPr>
                <w:rFonts w:hint="eastAsia"/>
                <w:color w:val="auto"/>
              </w:rPr>
              <w:t>施工人员在日常生活中还将会产生一定量的生活垃圾，按每人每日0.5kg计，总施工人数为10人，施工作业时间按90天计，则施工期生活垃圾产生量为0.45t。</w:t>
            </w:r>
          </w:p>
          <w:p>
            <w:pPr>
              <w:pStyle w:val="31"/>
              <w:ind w:firstLine="482"/>
              <w:rPr>
                <w:b/>
                <w:color w:val="auto"/>
              </w:rPr>
            </w:pPr>
            <w:r>
              <w:rPr>
                <w:rFonts w:hint="eastAsia"/>
                <w:b/>
                <w:color w:val="auto"/>
              </w:rPr>
              <w:t>5.1.2.5施工期生态影响分析</w:t>
            </w:r>
          </w:p>
          <w:p>
            <w:pPr>
              <w:pStyle w:val="31"/>
              <w:rPr>
                <w:color w:val="auto"/>
              </w:rPr>
            </w:pPr>
            <w:r>
              <w:rPr>
                <w:rFonts w:hint="eastAsia"/>
                <w:color w:val="auto"/>
              </w:rPr>
              <w:t>本项目施工中，生态影响主要为土方开挖引起水土流失，在施工过程中，土壤暴露在雨、风和其他干扰因素中，另外，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易造成较严重的水土流失。同类型项目施工经验显示，通过在项目周边修建临时围墙、及时实施场地夯实，以及在施工现场建排水沟，防止雨水冲刷场地，在排水沟出口处建沉淀池，使雨水经沉淀池沉清后再外排等措施，可以在很大程度上减少施工期水土流失。</w:t>
            </w:r>
          </w:p>
          <w:p>
            <w:pPr>
              <w:spacing w:line="360" w:lineRule="auto"/>
              <w:rPr>
                <w:rFonts w:ascii="Times New Roman" w:hAnsi="Times New Roman" w:cs="Times New Roman"/>
                <w:b/>
                <w:sz w:val="24"/>
              </w:rPr>
            </w:pPr>
            <w:r>
              <w:rPr>
                <w:rFonts w:hint="eastAsia" w:ascii="Times New Roman" w:hAnsi="Times New Roman" w:cs="Times New Roman"/>
                <w:b/>
                <w:sz w:val="28"/>
              </w:rPr>
              <w:t>5.2营运期工艺流程、污染工序和源强分析</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5.2.1营运期工艺流程及产污节点</w:t>
            </w:r>
          </w:p>
          <w:p>
            <w:pPr>
              <w:pStyle w:val="31"/>
              <w:ind w:firstLine="482"/>
              <w:rPr>
                <w:b/>
                <w:color w:val="auto"/>
              </w:rPr>
            </w:pPr>
            <w:r>
              <w:rPr>
                <w:rFonts w:hint="eastAsia"/>
                <w:b/>
                <w:color w:val="auto"/>
              </w:rPr>
              <w:t>5.2.1.1石材加工生产工艺流程及产污节点图</w:t>
            </w:r>
          </w:p>
          <w:p>
            <w:pPr>
              <w:pStyle w:val="31"/>
              <w:ind w:firstLine="482"/>
              <w:rPr>
                <w:b/>
                <w:color w:val="auto"/>
              </w:rPr>
            </w:pPr>
            <w:r>
              <w:rPr>
                <w:rFonts w:hint="eastAsia"/>
                <w:b/>
                <w:color w:val="auto"/>
              </w:rPr>
              <w:t>（1）石材加工生产工艺流程简述</w:t>
            </w:r>
          </w:p>
          <w:p>
            <w:pPr>
              <w:pStyle w:val="31"/>
              <w:rPr>
                <w:color w:val="auto"/>
              </w:rPr>
            </w:pPr>
            <w:r>
              <w:rPr>
                <w:rFonts w:hint="eastAsia"/>
                <w:color w:val="auto"/>
              </w:rPr>
              <w:t>根据建设单位提供的资料，本项目石材加工生产工艺如下：</w:t>
            </w:r>
          </w:p>
          <w:p>
            <w:pPr>
              <w:pStyle w:val="31"/>
              <w:rPr>
                <w:color w:val="auto"/>
              </w:rPr>
            </w:pPr>
            <w:r>
              <w:rPr>
                <w:rFonts w:hint="eastAsia"/>
                <w:color w:val="auto"/>
              </w:rPr>
              <w:t>① 荒料初步切割。从外部采石场外购的石材荒料（毛坯石料）经汽车运输至石材原料堆场，经叉车转移至龙门切割机操作台，调整荒料和龙门切割机的锯盘位置，然后启动切割机，由电机带动锯盘（垂直地面）高速旋转对荒料进行初步切割修整。该工序产生的污染物主要为噪声、粉尘、石材边角料和切割废水。</w:t>
            </w:r>
          </w:p>
          <w:p>
            <w:pPr>
              <w:pStyle w:val="31"/>
              <w:rPr>
                <w:color w:val="auto"/>
              </w:rPr>
            </w:pPr>
            <w:r>
              <w:rPr>
                <w:rFonts w:hint="eastAsia"/>
                <w:color w:val="auto"/>
              </w:rPr>
              <w:t>② 二次切割。将初步切割后的石材转移至红外线切割机操作台进行进一步的切割分片。该工序产生的污染物主要为噪声、粉尘、石材边角料和废水。</w:t>
            </w:r>
          </w:p>
          <w:p>
            <w:pPr>
              <w:pStyle w:val="31"/>
              <w:rPr>
                <w:color w:val="auto"/>
              </w:rPr>
            </w:pPr>
            <w:r>
              <w:rPr>
                <w:rFonts w:hint="eastAsia"/>
                <w:color w:val="auto"/>
              </w:rPr>
              <w:t>③ 雕刻。对于需要进行雕刻的半成品，采用雕刻机进行雕刻。该工序产生的污染物主要为噪声、粉尘、石材边角料和废水。</w:t>
            </w:r>
          </w:p>
          <w:p>
            <w:pPr>
              <w:pStyle w:val="31"/>
              <w:rPr>
                <w:color w:val="auto"/>
              </w:rPr>
            </w:pPr>
            <w:r>
              <w:rPr>
                <w:rFonts w:hint="eastAsia"/>
                <w:color w:val="auto"/>
              </w:rPr>
              <w:t>④ 磨边、开槽、倒角。采用自动直曲磨边机对切割后的半成品进行开槽、磨边（圆边、直边等）、倒角；磨边、开槽、倒角工序采用湿式作业，冷却水通过软管喷射至加工部位，一方面冷却切割磨具，另一方面抑尘。该工序产生的污染物主要为噪声、粉尘、石材边角料和废水。</w:t>
            </w:r>
          </w:p>
          <w:p>
            <w:pPr>
              <w:pStyle w:val="31"/>
              <w:rPr>
                <w:color w:val="auto"/>
              </w:rPr>
            </w:pPr>
            <w:r>
              <w:rPr>
                <w:rFonts w:hint="eastAsia"/>
                <w:color w:val="auto"/>
              </w:rPr>
              <w:t>⑤ 抛光。采用磨光机对磨边、开槽和倒角作业后的半成品进行抛光，以凸显石材的质感，增添产品的光彩。该工序产生的污染物主要为噪声、粉尘、石材边角料和废水。</w:t>
            </w:r>
          </w:p>
          <w:p>
            <w:pPr>
              <w:pStyle w:val="31"/>
              <w:rPr>
                <w:color w:val="auto"/>
              </w:rPr>
            </w:pPr>
            <w:r>
              <w:rPr>
                <w:rFonts w:hint="eastAsia"/>
                <w:color w:val="auto"/>
              </w:rPr>
              <w:t>上述切割、雕刻、磨边、开槽、倒角和抛光作业均采用湿式作业，冷却水通过设备自带喷水系统喷射至加工部位，一方面冷却切割刀具（磨具），另一方面抑尘。作业过程中的边角料转运至砂石生产车间制砂，废水经沉淀后回用于生产。</w:t>
            </w:r>
          </w:p>
          <w:p>
            <w:pPr>
              <w:pStyle w:val="31"/>
              <w:rPr>
                <w:color w:val="auto"/>
              </w:rPr>
            </w:pPr>
            <w:r>
              <w:rPr>
                <w:rFonts w:hint="eastAsia"/>
                <w:color w:val="auto"/>
              </w:rPr>
              <w:t>⑥ 入库待售。加工好的石材制品经打包后转移至产品区待售。</w:t>
            </w:r>
          </w:p>
          <w:p>
            <w:pPr>
              <w:pStyle w:val="31"/>
              <w:ind w:firstLine="482"/>
              <w:rPr>
                <w:b/>
                <w:color w:val="auto"/>
              </w:rPr>
            </w:pPr>
            <w:r>
              <w:rPr>
                <w:rFonts w:hint="eastAsia"/>
                <w:b/>
                <w:color w:val="auto"/>
              </w:rPr>
              <w:t>（2）石材加工生产工艺流程图</w:t>
            </w:r>
          </w:p>
          <w:p>
            <w:pPr>
              <w:pStyle w:val="31"/>
              <w:rPr>
                <w:color w:val="auto"/>
              </w:rPr>
            </w:pPr>
            <w:r>
              <w:rPr>
                <w:rFonts w:hint="eastAsia"/>
                <w:color w:val="auto"/>
              </w:rPr>
              <w:t>本项目石材加工生产工艺流程及产污节点详见图5-2。</w:t>
            </w:r>
          </w:p>
          <w:p>
            <w:pPr>
              <w:pStyle w:val="46"/>
            </w:pPr>
            <w:r>
              <w:object>
                <v:shape id="_x0000_i1029" o:spt="75" type="#_x0000_t75" style="height:437.15pt;width:451.55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pStyle w:val="31"/>
              <w:ind w:firstLine="0" w:firstLineChars="0"/>
              <w:jc w:val="center"/>
              <w:rPr>
                <w:color w:val="auto"/>
              </w:rPr>
            </w:pPr>
            <w:r>
              <w:rPr>
                <w:rFonts w:cs="Times New Roman"/>
                <w:b/>
                <w:color w:val="auto"/>
                <w:sz w:val="21"/>
                <w:lang w:val="zh-CN"/>
              </w:rPr>
              <w:t>图</w:t>
            </w:r>
            <w:r>
              <w:rPr>
                <w:rFonts w:hint="eastAsia" w:cs="Times New Roman"/>
                <w:b/>
                <w:color w:val="auto"/>
                <w:sz w:val="21"/>
                <w:lang w:val="zh-CN"/>
              </w:rPr>
              <w:t>5-2</w:t>
            </w:r>
            <w:r>
              <w:rPr>
                <w:rFonts w:cs="Times New Roman"/>
                <w:b/>
                <w:color w:val="auto"/>
                <w:sz w:val="21"/>
                <w:lang w:val="zh-CN"/>
              </w:rPr>
              <w:t xml:space="preserve">   </w:t>
            </w:r>
            <w:r>
              <w:rPr>
                <w:rFonts w:hint="eastAsia" w:cs="Times New Roman"/>
                <w:b/>
                <w:color w:val="auto"/>
                <w:sz w:val="21"/>
                <w:lang w:val="zh-CN"/>
              </w:rPr>
              <w:t>石材加工生产工艺流程</w:t>
            </w:r>
            <w:r>
              <w:rPr>
                <w:rFonts w:cs="Times New Roman"/>
                <w:b/>
                <w:color w:val="auto"/>
                <w:sz w:val="21"/>
                <w:lang w:val="zh-CN"/>
              </w:rPr>
              <w:t>及产污环节图</w:t>
            </w:r>
          </w:p>
          <w:p>
            <w:pPr>
              <w:pStyle w:val="46"/>
            </w:pPr>
          </w:p>
          <w:p>
            <w:pPr>
              <w:pStyle w:val="31"/>
              <w:ind w:firstLine="482"/>
              <w:rPr>
                <w:b/>
                <w:color w:val="auto"/>
              </w:rPr>
            </w:pPr>
            <w:r>
              <w:rPr>
                <w:rFonts w:hint="eastAsia"/>
                <w:b/>
                <w:color w:val="auto"/>
              </w:rPr>
              <w:t>5.2.1.2砂石生产工艺流程及产污节点图</w:t>
            </w:r>
          </w:p>
          <w:p>
            <w:pPr>
              <w:pStyle w:val="31"/>
              <w:ind w:firstLine="482"/>
              <w:rPr>
                <w:b/>
                <w:color w:val="auto"/>
              </w:rPr>
            </w:pPr>
            <w:r>
              <w:rPr>
                <w:rFonts w:hint="eastAsia"/>
                <w:b/>
                <w:color w:val="auto"/>
              </w:rPr>
              <w:t>（1）砂石生产工艺流程简述</w:t>
            </w:r>
          </w:p>
          <w:p>
            <w:pPr>
              <w:pStyle w:val="31"/>
              <w:rPr>
                <w:color w:val="auto"/>
              </w:rPr>
            </w:pPr>
            <w:r>
              <w:rPr>
                <w:rFonts w:hint="eastAsia"/>
                <w:color w:val="auto"/>
              </w:rPr>
              <w:t>根据建设单位提供的资料，本项目生产工艺如下：</w:t>
            </w:r>
          </w:p>
          <w:p>
            <w:pPr>
              <w:pStyle w:val="31"/>
              <w:rPr>
                <w:color w:val="auto"/>
              </w:rPr>
            </w:pPr>
            <w:r>
              <w:rPr>
                <w:rFonts w:hint="eastAsia"/>
                <w:color w:val="auto"/>
              </w:rPr>
              <w:t>① 进料：本项目石材加工产生的废边角料及外购邵东县区域石材加工厂废边角料等原料，由装载车或运输车辆运入原料堆场，再由装载车卸入进料斗，经输送皮带送入破碎机。该工序产生的污染物主要为噪声、粉尘。</w:t>
            </w:r>
          </w:p>
          <w:p>
            <w:pPr>
              <w:pStyle w:val="31"/>
              <w:rPr>
                <w:color w:val="auto"/>
              </w:rPr>
            </w:pPr>
            <w:r>
              <w:rPr>
                <w:rFonts w:hint="eastAsia"/>
                <w:color w:val="auto"/>
              </w:rPr>
              <w:t>② 破碎制砂和筛分：破碎工序设置一台破碎机和一台振动筛，物料经破碎机破碎后由输送皮带输送至振动筛，</w:t>
            </w:r>
            <w:r>
              <w:rPr>
                <w:rFonts w:hint="eastAsia"/>
                <w:color w:val="auto"/>
                <w:u w:val="single"/>
              </w:rPr>
              <w:t>0-6mm的物料经输送皮带转运至成品砂堆场，6-18mm和18-30mm的物料分别由输送皮带输送至各碎石堆场，粒径大于30mm的物料经输送皮带返回破碎机再次破碎</w:t>
            </w:r>
            <w:r>
              <w:rPr>
                <w:rFonts w:hint="eastAsia"/>
                <w:color w:val="auto"/>
              </w:rPr>
              <w:t>。该工序产生的污染物主要为噪声和粉尘。</w:t>
            </w:r>
          </w:p>
          <w:p>
            <w:pPr>
              <w:pStyle w:val="31"/>
              <w:rPr>
                <w:color w:val="auto"/>
              </w:rPr>
            </w:pPr>
            <w:r>
              <w:rPr>
                <w:rFonts w:hint="eastAsia"/>
                <w:color w:val="auto"/>
              </w:rPr>
              <w:t>③ 产品堆存及外运：筛分出的各粒径产品按产品规格堆放到不同的堆场，通过地磅计量后由运输车辆外运。该工序产生的污染物主要为噪声和粉尘。</w:t>
            </w:r>
          </w:p>
          <w:p>
            <w:pPr>
              <w:pStyle w:val="31"/>
              <w:rPr>
                <w:color w:val="auto"/>
              </w:rPr>
            </w:pPr>
            <w:r>
              <w:rPr>
                <w:rFonts w:hint="eastAsia"/>
                <w:color w:val="auto"/>
              </w:rPr>
              <w:t>本项目采用干法制砂工艺，无洗砂工艺，制砂工程中无废水产生。</w:t>
            </w:r>
          </w:p>
          <w:p>
            <w:pPr>
              <w:pStyle w:val="31"/>
              <w:ind w:firstLine="482"/>
              <w:rPr>
                <w:b/>
                <w:color w:val="auto"/>
              </w:rPr>
            </w:pPr>
            <w:r>
              <w:rPr>
                <w:rFonts w:hint="eastAsia"/>
                <w:b/>
                <w:color w:val="auto"/>
              </w:rPr>
              <w:t>（2）砂石生产工艺流程图</w:t>
            </w:r>
          </w:p>
          <w:p>
            <w:pPr>
              <w:pStyle w:val="31"/>
              <w:rPr>
                <w:color w:val="auto"/>
              </w:rPr>
            </w:pPr>
            <w:r>
              <w:rPr>
                <w:rFonts w:hint="eastAsia"/>
                <w:color w:val="auto"/>
              </w:rPr>
              <w:t>本项目砂石生产工艺流程及产污节点详见图5-2。</w:t>
            </w:r>
          </w:p>
          <w:p>
            <w:pPr>
              <w:pStyle w:val="31"/>
              <w:ind w:firstLine="0" w:firstLineChars="0"/>
              <w:jc w:val="center"/>
              <w:rPr>
                <w:rFonts w:cs="Times New Roman"/>
                <w:b/>
                <w:color w:val="auto"/>
                <w:sz w:val="21"/>
              </w:rPr>
            </w:pPr>
            <w:r>
              <w:rPr>
                <w:rFonts w:cs="Times New Roman"/>
                <w:b/>
                <w:color w:val="auto"/>
                <w:sz w:val="21"/>
              </w:rPr>
              <w:object>
                <v:shape id="_x0000_i1030" o:spt="75" type="#_x0000_t75" style="height:409pt;width:445pt;" o:ole="t" filled="f" o:preferrelative="t" stroked="f" coordsize="21600,21600">
                  <v:path/>
                  <v:fill on="f" focussize="0,0"/>
                  <v:stroke on="f" joinstyle="miter"/>
                  <v:imagedata r:id="rId19" o:title=""/>
                  <o:lock v:ext="edit" aspectratio="t"/>
                  <w10:wrap type="none"/>
                  <w10:anchorlock/>
                </v:shape>
                <o:OLEObject Type="Embed" ProgID="Visio.Drawing.11" ShapeID="_x0000_i1030" DrawAspect="Content" ObjectID="_1468075730" r:id="rId18">
                  <o:LockedField>false</o:LockedField>
                </o:OLEObject>
              </w:object>
            </w:r>
          </w:p>
          <w:p>
            <w:pPr>
              <w:pStyle w:val="31"/>
              <w:ind w:firstLine="0" w:firstLineChars="0"/>
              <w:jc w:val="center"/>
              <w:rPr>
                <w:color w:val="auto"/>
              </w:rPr>
            </w:pPr>
            <w:r>
              <w:rPr>
                <w:rFonts w:cs="Times New Roman"/>
                <w:b/>
                <w:color w:val="auto"/>
                <w:sz w:val="21"/>
                <w:lang w:val="zh-CN"/>
              </w:rPr>
              <w:t>图</w:t>
            </w:r>
            <w:r>
              <w:rPr>
                <w:rFonts w:hint="eastAsia" w:cs="Times New Roman"/>
                <w:b/>
                <w:color w:val="auto"/>
                <w:sz w:val="21"/>
                <w:lang w:val="zh-CN"/>
              </w:rPr>
              <w:t>5-3</w:t>
            </w:r>
            <w:r>
              <w:rPr>
                <w:rFonts w:cs="Times New Roman"/>
                <w:b/>
                <w:color w:val="auto"/>
                <w:sz w:val="21"/>
                <w:lang w:val="zh-CN"/>
              </w:rPr>
              <w:t xml:space="preserve">   </w:t>
            </w:r>
            <w:r>
              <w:rPr>
                <w:rFonts w:hint="eastAsia" w:cs="Times New Roman"/>
                <w:b/>
                <w:color w:val="auto"/>
                <w:sz w:val="21"/>
                <w:lang w:val="zh-CN"/>
              </w:rPr>
              <w:t>砂石生产工艺流程</w:t>
            </w:r>
            <w:r>
              <w:rPr>
                <w:rFonts w:cs="Times New Roman"/>
                <w:b/>
                <w:color w:val="auto"/>
                <w:sz w:val="21"/>
                <w:lang w:val="zh-CN"/>
              </w:rPr>
              <w:t>及产污环节图</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5.2.2营运期主要污染工序和源强分析</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5.2.2.1营运期水污染源分析</w:t>
            </w:r>
          </w:p>
          <w:p>
            <w:pPr>
              <w:pStyle w:val="31"/>
              <w:rPr>
                <w:color w:val="auto"/>
              </w:rPr>
            </w:pPr>
            <w:bookmarkStart w:id="53" w:name="_Toc111800917"/>
            <w:r>
              <w:rPr>
                <w:rFonts w:hint="eastAsia"/>
                <w:color w:val="auto"/>
              </w:rPr>
              <w:t>本项目废水主要为生活污水、石材加工废水、车辆清洗废水、抑尘废水和初期雨水，生活</w:t>
            </w:r>
            <w:r>
              <w:rPr>
                <w:rFonts w:hint="eastAsia"/>
                <w:color w:val="auto"/>
                <w:spacing w:val="6"/>
              </w:rPr>
              <w:t>污水中的主要污染物为COD</w:t>
            </w:r>
            <w:r>
              <w:rPr>
                <w:rFonts w:hint="eastAsia"/>
                <w:color w:val="auto"/>
                <w:spacing w:val="6"/>
                <w:vertAlign w:val="subscript"/>
              </w:rPr>
              <w:t>Cr</w:t>
            </w:r>
            <w:r>
              <w:rPr>
                <w:rFonts w:hint="eastAsia"/>
                <w:color w:val="auto"/>
                <w:spacing w:val="6"/>
              </w:rPr>
              <w:t>、BOD</w:t>
            </w:r>
            <w:r>
              <w:rPr>
                <w:rFonts w:hint="eastAsia"/>
                <w:color w:val="auto"/>
                <w:spacing w:val="6"/>
                <w:vertAlign w:val="subscript"/>
              </w:rPr>
              <w:t>5</w:t>
            </w:r>
            <w:r>
              <w:rPr>
                <w:rFonts w:hint="eastAsia"/>
                <w:color w:val="auto"/>
                <w:spacing w:val="6"/>
              </w:rPr>
              <w:t>、NH</w:t>
            </w:r>
            <w:r>
              <w:rPr>
                <w:rFonts w:hint="eastAsia"/>
                <w:color w:val="auto"/>
                <w:spacing w:val="6"/>
                <w:vertAlign w:val="subscript"/>
              </w:rPr>
              <w:t>3</w:t>
            </w:r>
            <w:r>
              <w:rPr>
                <w:rFonts w:hint="eastAsia"/>
                <w:color w:val="auto"/>
                <w:spacing w:val="6"/>
              </w:rPr>
              <w:t>-N、SS</w:t>
            </w:r>
            <w:r>
              <w:rPr>
                <w:rFonts w:hint="eastAsia"/>
                <w:color w:val="auto"/>
              </w:rPr>
              <w:t>；石材加工废水、车辆清洗废水和初期雨水的主要污染物为SS。本项目生活污水经化粪池处理后用作农肥；石材加工废水、车辆清洗废水和初期雨水经沉淀处理后回用于生产。</w:t>
            </w:r>
          </w:p>
          <w:p>
            <w:pPr>
              <w:pStyle w:val="31"/>
              <w:ind w:firstLine="482"/>
              <w:rPr>
                <w:b/>
                <w:color w:val="auto"/>
              </w:rPr>
            </w:pPr>
            <w:r>
              <w:rPr>
                <w:rFonts w:hint="eastAsia"/>
                <w:b/>
                <w:color w:val="auto"/>
              </w:rPr>
              <w:t>（1）生活污水</w:t>
            </w:r>
          </w:p>
          <w:p>
            <w:pPr>
              <w:pStyle w:val="31"/>
              <w:rPr>
                <w:color w:val="auto"/>
                <w:spacing w:val="6"/>
              </w:rPr>
            </w:pPr>
            <w:r>
              <w:rPr>
                <w:rFonts w:hint="eastAsia"/>
                <w:color w:val="auto"/>
              </w:rPr>
              <w:t>本项目劳动定员10人，均为周边村民，不在厂内食宿。</w:t>
            </w:r>
            <w:r>
              <w:rPr>
                <w:rFonts w:hint="eastAsia" w:cs="Times New Roman"/>
                <w:color w:val="auto"/>
              </w:rPr>
              <w:t>根据《湖南省地方标准用水定额》（DB43/T388-2014），办公楼（不带食堂）用水按45L/人</w:t>
            </w:r>
            <w:r>
              <w:rPr>
                <w:rFonts w:hint="eastAsia" w:ascii="MS Mincho" w:hAnsi="MS Mincho" w:eastAsia="MS Mincho" w:cs="MS Mincho"/>
                <w:color w:val="auto"/>
              </w:rPr>
              <w:t>▪</w:t>
            </w:r>
            <w:r>
              <w:rPr>
                <w:rFonts w:hint="eastAsia" w:ascii="宋体" w:hAnsi="宋体" w:eastAsia="宋体"/>
                <w:color w:val="auto"/>
              </w:rPr>
              <w:t>天计，</w:t>
            </w:r>
            <w:r>
              <w:rPr>
                <w:rFonts w:eastAsia="宋体" w:cs="Times New Roman"/>
                <w:color w:val="auto"/>
              </w:rPr>
              <w:t>项目年生产</w:t>
            </w:r>
            <w:r>
              <w:rPr>
                <w:rFonts w:hint="eastAsia" w:eastAsia="宋体" w:cs="Times New Roman"/>
                <w:color w:val="auto"/>
              </w:rPr>
              <w:t>300</w:t>
            </w:r>
            <w:r>
              <w:rPr>
                <w:rFonts w:eastAsia="宋体" w:cs="Times New Roman"/>
                <w:color w:val="auto"/>
              </w:rPr>
              <w:t>天，则</w:t>
            </w:r>
            <w:r>
              <w:rPr>
                <w:rFonts w:hint="eastAsia" w:ascii="宋体" w:hAnsi="宋体" w:eastAsia="宋体"/>
                <w:color w:val="auto"/>
              </w:rPr>
              <w:t>项目</w:t>
            </w:r>
            <w:r>
              <w:rPr>
                <w:rFonts w:cs="Times New Roman"/>
                <w:color w:val="auto"/>
              </w:rPr>
              <w:t>生活用水量为</w:t>
            </w:r>
            <w:r>
              <w:rPr>
                <w:rFonts w:hint="eastAsia" w:cs="Times New Roman"/>
                <w:color w:val="auto"/>
              </w:rPr>
              <w:t>0.45</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d（135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w:t>
            </w:r>
            <w:r>
              <w:rPr>
                <w:rFonts w:hint="eastAsia"/>
                <w:color w:val="auto"/>
                <w:spacing w:val="6"/>
              </w:rPr>
              <w:t>产污系数按0.8计算，企业生活污水产生量0.36</w:t>
            </w:r>
            <w:r>
              <w:rPr>
                <w:rFonts w:cs="Times New Roman"/>
                <w:color w:val="auto"/>
              </w:rPr>
              <w:t>m</w:t>
            </w:r>
            <w:r>
              <w:rPr>
                <w:rFonts w:cs="Times New Roman"/>
                <w:color w:val="auto"/>
                <w:vertAlign w:val="superscript"/>
              </w:rPr>
              <w:t>3</w:t>
            </w:r>
            <w:r>
              <w:rPr>
                <w:rFonts w:hint="eastAsia"/>
                <w:color w:val="auto"/>
                <w:spacing w:val="6"/>
              </w:rPr>
              <w:t>/d（108</w:t>
            </w:r>
            <w:r>
              <w:rPr>
                <w:rFonts w:cs="Times New Roman"/>
                <w:color w:val="auto"/>
              </w:rPr>
              <w:t>m</w:t>
            </w:r>
            <w:r>
              <w:rPr>
                <w:rFonts w:cs="Times New Roman"/>
                <w:color w:val="auto"/>
                <w:vertAlign w:val="superscript"/>
              </w:rPr>
              <w:t>3</w:t>
            </w:r>
            <w:r>
              <w:rPr>
                <w:rFonts w:hint="eastAsia"/>
                <w:color w:val="auto"/>
                <w:spacing w:val="6"/>
              </w:rPr>
              <w:t>/a）。</w:t>
            </w:r>
          </w:p>
          <w:p>
            <w:pPr>
              <w:spacing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5</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营运期生活污水主要污染物浓度和产生量</w:t>
            </w:r>
          </w:p>
          <w:tbl>
            <w:tblPr>
              <w:tblStyle w:val="25"/>
              <w:tblW w:w="8789" w:type="dxa"/>
              <w:tblInd w:w="0" w:type="dxa"/>
              <w:tblLayout w:type="fixed"/>
              <w:tblCellMar>
                <w:top w:w="0" w:type="dxa"/>
                <w:left w:w="108" w:type="dxa"/>
                <w:bottom w:w="0" w:type="dxa"/>
                <w:right w:w="108" w:type="dxa"/>
              </w:tblCellMar>
            </w:tblPr>
            <w:tblGrid>
              <w:gridCol w:w="2405"/>
              <w:gridCol w:w="1276"/>
              <w:gridCol w:w="1277"/>
              <w:gridCol w:w="1277"/>
              <w:gridCol w:w="1277"/>
              <w:gridCol w:w="1277"/>
            </w:tblGrid>
            <w:tr>
              <w:tblPrEx>
                <w:tblLayout w:type="fixed"/>
                <w:tblCellMar>
                  <w:top w:w="0" w:type="dxa"/>
                  <w:left w:w="108" w:type="dxa"/>
                  <w:bottom w:w="0" w:type="dxa"/>
                  <w:right w:w="108" w:type="dxa"/>
                </w:tblCellMar>
              </w:tblPrEx>
              <w:trPr>
                <w:trHeight w:val="369"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污染物名称</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COD</w:t>
                  </w:r>
                  <w:r>
                    <w:rPr>
                      <w:rFonts w:hint="eastAsia" w:ascii="Times New Roman" w:hAnsi="Times New Roman" w:cs="Times New Roman"/>
                      <w:b/>
                      <w:kern w:val="0"/>
                      <w:szCs w:val="21"/>
                      <w:vertAlign w:val="subscript"/>
                    </w:rPr>
                    <w:t>Cr</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BOD</w:t>
                  </w:r>
                  <w:r>
                    <w:rPr>
                      <w:rFonts w:hint="eastAsia" w:ascii="Times New Roman" w:hAnsi="Times New Roman" w:cs="Times New Roman"/>
                      <w:b/>
                      <w:kern w:val="0"/>
                      <w:szCs w:val="21"/>
                      <w:vertAlign w:val="subscript"/>
                    </w:rPr>
                    <w:t>5</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NH</w:t>
                  </w:r>
                  <w:r>
                    <w:rPr>
                      <w:rFonts w:hint="eastAsia" w:ascii="Times New Roman" w:hAnsi="Times New Roman" w:cs="Times New Roman"/>
                      <w:b/>
                      <w:kern w:val="0"/>
                      <w:szCs w:val="21"/>
                      <w:vertAlign w:val="subscript"/>
                    </w:rPr>
                    <w:t>3</w:t>
                  </w:r>
                  <w:r>
                    <w:rPr>
                      <w:rFonts w:hint="eastAsia" w:ascii="Times New Roman" w:hAnsi="Times New Roman" w:cs="Times New Roman"/>
                      <w:b/>
                      <w:kern w:val="0"/>
                      <w:szCs w:val="21"/>
                    </w:rPr>
                    <w:t>-N</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SS</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动植物油</w:t>
                  </w:r>
                </w:p>
              </w:tc>
            </w:tr>
            <w:tr>
              <w:tblPrEx>
                <w:tblLayout w:type="fixed"/>
                <w:tblCellMar>
                  <w:top w:w="0" w:type="dxa"/>
                  <w:left w:w="108" w:type="dxa"/>
                  <w:bottom w:w="0" w:type="dxa"/>
                  <w:right w:w="108" w:type="dxa"/>
                </w:tblCellMar>
              </w:tblPrEx>
              <w:trPr>
                <w:trHeight w:val="369"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生活污水水量（m</w:t>
                  </w:r>
                  <w:r>
                    <w:rPr>
                      <w:rFonts w:hint="eastAsia" w:ascii="Times New Roman" w:hAnsi="Times New Roman" w:cs="Times New Roman"/>
                      <w:kern w:val="0"/>
                      <w:szCs w:val="21"/>
                      <w:vertAlign w:val="superscript"/>
                    </w:rPr>
                    <w:t>3</w:t>
                  </w:r>
                  <w:r>
                    <w:rPr>
                      <w:rFonts w:hint="eastAsia" w:ascii="Times New Roman" w:hAnsi="Times New Roman" w:cs="Times New Roman"/>
                      <w:kern w:val="0"/>
                      <w:szCs w:val="21"/>
                    </w:rPr>
                    <w:t>/a）</w:t>
                  </w:r>
                </w:p>
              </w:tc>
              <w:tc>
                <w:tcPr>
                  <w:tcW w:w="6384"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108</w:t>
                  </w:r>
                </w:p>
              </w:tc>
            </w:tr>
            <w:tr>
              <w:tblPrEx>
                <w:tblLayout w:type="fixed"/>
                <w:tblCellMar>
                  <w:top w:w="0" w:type="dxa"/>
                  <w:left w:w="108" w:type="dxa"/>
                  <w:bottom w:w="0" w:type="dxa"/>
                  <w:right w:w="108" w:type="dxa"/>
                </w:tblCellMar>
              </w:tblPrEx>
              <w:trPr>
                <w:trHeight w:val="369"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污染物浓度（mg/L）</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350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150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200</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35</w:t>
                  </w:r>
                </w:p>
              </w:tc>
            </w:tr>
            <w:tr>
              <w:tblPrEx>
                <w:tblLayout w:type="fixed"/>
                <w:tblCellMar>
                  <w:top w:w="0" w:type="dxa"/>
                  <w:left w:w="108" w:type="dxa"/>
                  <w:bottom w:w="0" w:type="dxa"/>
                  <w:right w:w="108" w:type="dxa"/>
                </w:tblCellMar>
              </w:tblPrEx>
              <w:trPr>
                <w:trHeight w:val="369"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污染物产生量（t/a）</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0.038</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0.016</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0.003</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0.022</w:t>
                  </w:r>
                </w:p>
              </w:tc>
              <w:tc>
                <w:tcPr>
                  <w:tcW w:w="12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0.004</w:t>
                  </w:r>
                </w:p>
              </w:tc>
            </w:tr>
            <w:tr>
              <w:tblPrEx>
                <w:tblLayout w:type="fixed"/>
                <w:tblCellMar>
                  <w:top w:w="0" w:type="dxa"/>
                  <w:left w:w="108" w:type="dxa"/>
                  <w:bottom w:w="0" w:type="dxa"/>
                  <w:right w:w="108" w:type="dxa"/>
                </w:tblCellMar>
              </w:tblPrEx>
              <w:trPr>
                <w:trHeight w:val="369" w:hRule="atLeast"/>
              </w:trPr>
              <w:tc>
                <w:tcPr>
                  <w:tcW w:w="24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排放情况</w:t>
                  </w:r>
                </w:p>
              </w:tc>
              <w:tc>
                <w:tcPr>
                  <w:tcW w:w="6384"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经化粪池处理后用作农肥</w:t>
                  </w:r>
                </w:p>
              </w:tc>
            </w:tr>
          </w:tbl>
          <w:p>
            <w:pPr>
              <w:pStyle w:val="31"/>
              <w:ind w:firstLine="482"/>
              <w:rPr>
                <w:b/>
                <w:color w:val="auto"/>
              </w:rPr>
            </w:pPr>
            <w:r>
              <w:rPr>
                <w:rFonts w:hint="eastAsia"/>
                <w:b/>
                <w:color w:val="auto"/>
              </w:rPr>
              <w:t>（2）石材加工废水</w:t>
            </w:r>
          </w:p>
          <w:p>
            <w:pPr>
              <w:pStyle w:val="31"/>
              <w:rPr>
                <w:rFonts w:cs="Times New Roman"/>
                <w:color w:val="auto"/>
              </w:rPr>
            </w:pPr>
            <w:r>
              <w:rPr>
                <w:rFonts w:hint="eastAsia"/>
                <w:color w:val="auto"/>
              </w:rPr>
              <w:t>根据企业提供的设备参数及相关资料分析，项目石材切割、抛磨等加工工序采用湿法作业，冷却水通过软管喷射至加工部位，一方面冷却切割磨具，另一方面抑尘。石材切割、抛磨等加工工序产生的废水经沉淀处理后全部循环使用，定期补充即可。根据水平衡分析，石材加工用水量约60</w:t>
            </w:r>
            <w:r>
              <w:rPr>
                <w:color w:val="auto"/>
              </w:rPr>
              <w:t>m</w:t>
            </w:r>
            <w:r>
              <w:rPr>
                <w:color w:val="auto"/>
                <w:vertAlign w:val="superscript"/>
              </w:rPr>
              <w:t>3</w:t>
            </w:r>
            <w:r>
              <w:rPr>
                <w:rFonts w:hint="eastAsia"/>
                <w:color w:val="auto"/>
              </w:rPr>
              <w:t>/h（144000m</w:t>
            </w:r>
            <w:r>
              <w:rPr>
                <w:rFonts w:hint="eastAsia"/>
                <w:color w:val="auto"/>
                <w:vertAlign w:val="superscript"/>
              </w:rPr>
              <w:t>3</w:t>
            </w:r>
            <w:r>
              <w:rPr>
                <w:rFonts w:hint="eastAsia"/>
                <w:color w:val="auto"/>
              </w:rPr>
              <w:t>/a），废水产生量约为58.8</w:t>
            </w:r>
            <w:r>
              <w:rPr>
                <w:color w:val="auto"/>
              </w:rPr>
              <w:t>m</w:t>
            </w:r>
            <w:r>
              <w:rPr>
                <w:color w:val="auto"/>
                <w:vertAlign w:val="superscript"/>
              </w:rPr>
              <w:t>3</w:t>
            </w:r>
            <w:r>
              <w:rPr>
                <w:rFonts w:hint="eastAsia"/>
                <w:color w:val="auto"/>
              </w:rPr>
              <w:t>/h</w:t>
            </w:r>
            <w:r>
              <w:rPr>
                <w:rFonts w:hint="eastAsia" w:cs="Times New Roman"/>
                <w:color w:val="auto"/>
              </w:rPr>
              <w:t>。石材加工废水的主要污染物为SS，浓度可达3000mg/L。</w:t>
            </w:r>
          </w:p>
          <w:p>
            <w:pPr>
              <w:pStyle w:val="31"/>
              <w:ind w:firstLine="482"/>
              <w:rPr>
                <w:b/>
                <w:color w:val="auto"/>
              </w:rPr>
            </w:pPr>
            <w:r>
              <w:rPr>
                <w:rFonts w:hint="eastAsia"/>
                <w:b/>
                <w:color w:val="auto"/>
              </w:rPr>
              <w:t>（3）车辆冲洗废水</w:t>
            </w:r>
          </w:p>
          <w:p>
            <w:pPr>
              <w:pStyle w:val="31"/>
              <w:rPr>
                <w:color w:val="auto"/>
              </w:rPr>
            </w:pPr>
            <w:r>
              <w:rPr>
                <w:color w:val="auto"/>
              </w:rPr>
              <w:t>本项目营运期运输车辆在出场前需对车辆</w:t>
            </w:r>
            <w:r>
              <w:rPr>
                <w:rFonts w:hint="eastAsia"/>
                <w:color w:val="auto"/>
              </w:rPr>
              <w:t>轮胎等</w:t>
            </w:r>
            <w:r>
              <w:rPr>
                <w:color w:val="auto"/>
              </w:rPr>
              <w:t>进行</w:t>
            </w:r>
            <w:r>
              <w:rPr>
                <w:rFonts w:hint="eastAsia"/>
                <w:color w:val="auto"/>
              </w:rPr>
              <w:t>冲洗</w:t>
            </w:r>
            <w:r>
              <w:rPr>
                <w:color w:val="auto"/>
              </w:rPr>
              <w:t>以保证不带泥上路，此过程会产生一定量的冲洗废水。项目</w:t>
            </w:r>
            <w:r>
              <w:rPr>
                <w:rFonts w:hint="eastAsia"/>
                <w:color w:val="auto"/>
              </w:rPr>
              <w:t>物料年出场量为419350吨（石材产品18900吨、砂石产品400000吨、沉渣及粉尘450吨），</w:t>
            </w:r>
            <w:r>
              <w:rPr>
                <w:color w:val="auto"/>
              </w:rPr>
              <w:t>运输车辆每天出场</w:t>
            </w:r>
            <w:r>
              <w:rPr>
                <w:rFonts w:hint="eastAsia"/>
                <w:color w:val="auto"/>
              </w:rPr>
              <w:t>40</w:t>
            </w:r>
            <w:r>
              <w:rPr>
                <w:color w:val="auto"/>
              </w:rPr>
              <w:t>车次</w:t>
            </w:r>
            <w:r>
              <w:rPr>
                <w:rFonts w:hint="eastAsia"/>
                <w:color w:val="auto"/>
              </w:rPr>
              <w:t>（平均按35吨/车计算）</w:t>
            </w:r>
            <w:r>
              <w:rPr>
                <w:color w:val="auto"/>
              </w:rPr>
              <w:t>，用水定额按0.1m</w:t>
            </w:r>
            <w:r>
              <w:rPr>
                <w:color w:val="auto"/>
                <w:vertAlign w:val="superscript"/>
              </w:rPr>
              <w:t>3</w:t>
            </w:r>
            <w:r>
              <w:rPr>
                <w:color w:val="auto"/>
              </w:rPr>
              <w:t>/次·辆计，则共需用水量</w:t>
            </w:r>
            <w:r>
              <w:rPr>
                <w:rFonts w:hint="eastAsia"/>
                <w:color w:val="auto"/>
              </w:rPr>
              <w:t>4.0</w:t>
            </w:r>
            <w:r>
              <w:rPr>
                <w:color w:val="auto"/>
              </w:rPr>
              <w:t>m</w:t>
            </w:r>
            <w:r>
              <w:rPr>
                <w:color w:val="auto"/>
                <w:vertAlign w:val="superscript"/>
              </w:rPr>
              <w:t>3</w:t>
            </w:r>
            <w:r>
              <w:rPr>
                <w:color w:val="auto"/>
              </w:rPr>
              <w:t>/d</w:t>
            </w:r>
            <w:r>
              <w:rPr>
                <w:rFonts w:hint="eastAsia"/>
                <w:color w:val="auto"/>
              </w:rPr>
              <w:t>（</w:t>
            </w:r>
            <w:r>
              <w:rPr>
                <w:color w:val="auto"/>
              </w:rPr>
              <w:t>即</w:t>
            </w:r>
            <w:r>
              <w:rPr>
                <w:rFonts w:hint="eastAsia"/>
                <w:color w:val="auto"/>
              </w:rPr>
              <w:t>1200</w:t>
            </w:r>
            <w:r>
              <w:rPr>
                <w:color w:val="auto"/>
              </w:rPr>
              <w:t>m</w:t>
            </w:r>
            <w:r>
              <w:rPr>
                <w:color w:val="auto"/>
                <w:vertAlign w:val="superscript"/>
              </w:rPr>
              <w:t>3</w:t>
            </w:r>
            <w:r>
              <w:rPr>
                <w:color w:val="auto"/>
              </w:rPr>
              <w:t>/a</w:t>
            </w:r>
            <w:r>
              <w:rPr>
                <w:rFonts w:hint="eastAsia"/>
                <w:color w:val="auto"/>
              </w:rPr>
              <w:t>）</w:t>
            </w:r>
            <w:r>
              <w:rPr>
                <w:color w:val="auto"/>
              </w:rPr>
              <w:t>，产污系数按0.</w:t>
            </w:r>
            <w:r>
              <w:rPr>
                <w:rFonts w:hint="eastAsia"/>
                <w:color w:val="auto"/>
              </w:rPr>
              <w:t>9</w:t>
            </w:r>
            <w:r>
              <w:rPr>
                <w:color w:val="auto"/>
              </w:rPr>
              <w:t>计，则清洗废水量为</w:t>
            </w:r>
            <w:r>
              <w:rPr>
                <w:rFonts w:hint="eastAsia"/>
                <w:color w:val="auto"/>
              </w:rPr>
              <w:t>3.6</w:t>
            </w:r>
            <w:r>
              <w:rPr>
                <w:color w:val="auto"/>
              </w:rPr>
              <w:t>m</w:t>
            </w:r>
            <w:r>
              <w:rPr>
                <w:color w:val="auto"/>
                <w:vertAlign w:val="superscript"/>
              </w:rPr>
              <w:t>3</w:t>
            </w:r>
            <w:r>
              <w:rPr>
                <w:color w:val="auto"/>
              </w:rPr>
              <w:t>/d</w:t>
            </w:r>
            <w:r>
              <w:rPr>
                <w:rFonts w:hint="eastAsia"/>
                <w:color w:val="auto"/>
              </w:rPr>
              <w:t>（</w:t>
            </w:r>
            <w:r>
              <w:rPr>
                <w:color w:val="auto"/>
              </w:rPr>
              <w:t>即</w:t>
            </w:r>
            <w:r>
              <w:rPr>
                <w:rFonts w:hint="eastAsia"/>
                <w:color w:val="auto"/>
              </w:rPr>
              <w:t>1080</w:t>
            </w:r>
            <w:r>
              <w:rPr>
                <w:color w:val="auto"/>
              </w:rPr>
              <w:t>m</w:t>
            </w:r>
            <w:r>
              <w:rPr>
                <w:color w:val="auto"/>
                <w:vertAlign w:val="superscript"/>
              </w:rPr>
              <w:t>3</w:t>
            </w:r>
            <w:r>
              <w:rPr>
                <w:color w:val="auto"/>
              </w:rPr>
              <w:t>/a</w:t>
            </w:r>
            <w:r>
              <w:rPr>
                <w:rFonts w:hint="eastAsia"/>
                <w:color w:val="auto"/>
              </w:rPr>
              <w:t>）</w:t>
            </w:r>
            <w:r>
              <w:rPr>
                <w:color w:val="auto"/>
              </w:rPr>
              <w:t>，项目车辆冲洗均在</w:t>
            </w:r>
            <w:r>
              <w:rPr>
                <w:rFonts w:hint="eastAsia"/>
                <w:color w:val="auto"/>
              </w:rPr>
              <w:t>厂区范围</w:t>
            </w:r>
            <w:r>
              <w:rPr>
                <w:color w:val="auto"/>
              </w:rPr>
              <w:t>内进行，</w:t>
            </w:r>
            <w:r>
              <w:rPr>
                <w:rFonts w:hint="eastAsia"/>
                <w:color w:val="auto"/>
              </w:rPr>
              <w:t>车辆冲洗</w:t>
            </w:r>
            <w:r>
              <w:rPr>
                <w:color w:val="auto"/>
              </w:rPr>
              <w:t>废水主要污染物为SS</w:t>
            </w:r>
            <w:r>
              <w:rPr>
                <w:rFonts w:hint="eastAsia"/>
                <w:color w:val="auto"/>
              </w:rPr>
              <w:t>，浓度约为800mg/L</w:t>
            </w:r>
            <w:r>
              <w:rPr>
                <w:color w:val="auto"/>
              </w:rPr>
              <w:t>。</w:t>
            </w:r>
          </w:p>
          <w:p>
            <w:pPr>
              <w:pStyle w:val="31"/>
              <w:ind w:firstLine="482"/>
              <w:rPr>
                <w:b/>
                <w:color w:val="auto"/>
              </w:rPr>
            </w:pPr>
            <w:r>
              <w:rPr>
                <w:rFonts w:hint="eastAsia"/>
                <w:b/>
                <w:color w:val="auto"/>
              </w:rPr>
              <w:t>（4）抑尘废水</w:t>
            </w:r>
          </w:p>
          <w:p>
            <w:pPr>
              <w:pStyle w:val="31"/>
              <w:rPr>
                <w:color w:val="auto"/>
              </w:rPr>
            </w:pPr>
            <w:r>
              <w:rPr>
                <w:rFonts w:hint="eastAsia"/>
                <w:color w:val="auto"/>
              </w:rPr>
              <w:t>① 场地抑尘用水</w:t>
            </w:r>
          </w:p>
          <w:p>
            <w:pPr>
              <w:pStyle w:val="31"/>
              <w:rPr>
                <w:color w:val="auto"/>
              </w:rPr>
            </w:pPr>
            <w:r>
              <w:rPr>
                <w:rFonts w:hint="eastAsia"/>
                <w:color w:val="auto"/>
              </w:rPr>
              <w:t>为控制道路运输扬尘，环评要求企业在晴天生产时间对场地内的运输道路、堆场等区域进行喷雾抑尘，频率按2次/天计，用水量按0.2L/m</w:t>
            </w:r>
            <w:r>
              <w:rPr>
                <w:rFonts w:hint="eastAsia"/>
                <w:color w:val="auto"/>
                <w:vertAlign w:val="superscript"/>
              </w:rPr>
              <w:t>2</w:t>
            </w:r>
            <w:r>
              <w:rPr>
                <w:color w:val="auto"/>
              </w:rPr>
              <w:t xml:space="preserve"> ▪</w:t>
            </w:r>
            <w:r>
              <w:rPr>
                <w:rFonts w:hint="eastAsia"/>
                <w:color w:val="auto"/>
              </w:rPr>
              <w:t>次计，洒水面积按5000m</w:t>
            </w:r>
            <w:r>
              <w:rPr>
                <w:rFonts w:hint="eastAsia"/>
                <w:color w:val="auto"/>
                <w:vertAlign w:val="superscript"/>
              </w:rPr>
              <w:t>2</w:t>
            </w:r>
            <w:r>
              <w:rPr>
                <w:rFonts w:hint="eastAsia"/>
                <w:color w:val="auto"/>
              </w:rPr>
              <w:t>计，则场地抑尘用水量2.0m</w:t>
            </w:r>
            <w:r>
              <w:rPr>
                <w:rFonts w:hint="eastAsia"/>
                <w:color w:val="auto"/>
                <w:vertAlign w:val="superscript"/>
              </w:rPr>
              <w:t>3</w:t>
            </w:r>
            <w:r>
              <w:rPr>
                <w:rFonts w:hint="eastAsia"/>
                <w:color w:val="auto"/>
              </w:rPr>
              <w:t>/d（600m</w:t>
            </w:r>
            <w:r>
              <w:rPr>
                <w:rFonts w:hint="eastAsia"/>
                <w:color w:val="auto"/>
                <w:vertAlign w:val="superscript"/>
              </w:rPr>
              <w:t>3</w:t>
            </w:r>
            <w:r>
              <w:rPr>
                <w:rFonts w:hint="eastAsia"/>
                <w:color w:val="auto"/>
              </w:rPr>
              <w:t>/d）。因水量小，场地抑尘水全部蒸发损耗或随物料带走，不会形成废水。</w:t>
            </w:r>
          </w:p>
          <w:p>
            <w:pPr>
              <w:pStyle w:val="31"/>
              <w:rPr>
                <w:color w:val="auto"/>
              </w:rPr>
            </w:pPr>
            <w:r>
              <w:rPr>
                <w:rFonts w:hint="eastAsia"/>
                <w:color w:val="auto"/>
              </w:rPr>
              <w:t>② 砂石生产投料抑尘用水</w:t>
            </w:r>
          </w:p>
          <w:p>
            <w:pPr>
              <w:pStyle w:val="31"/>
              <w:rPr>
                <w:color w:val="auto"/>
              </w:rPr>
            </w:pPr>
            <w:r>
              <w:rPr>
                <w:rFonts w:hint="eastAsia"/>
                <w:color w:val="auto"/>
              </w:rPr>
              <w:t>为增加物料湿度，降低砂石生产线进料斗投料时的粉尘排放，项目拟在进料口、各处输送皮带处设置自动喷雾装置，喷头用水量按2.5m</w:t>
            </w:r>
            <w:r>
              <w:rPr>
                <w:rFonts w:hint="eastAsia"/>
                <w:color w:val="auto"/>
                <w:vertAlign w:val="superscript"/>
              </w:rPr>
              <w:t>3</w:t>
            </w:r>
            <w:r>
              <w:rPr>
                <w:rFonts w:hint="eastAsia"/>
                <w:color w:val="auto"/>
              </w:rPr>
              <w:t>/h计。本项目年工作日为300d，每天生产8h，则投料抑尘用水量约为20m</w:t>
            </w:r>
            <w:r>
              <w:rPr>
                <w:rFonts w:hint="eastAsia"/>
                <w:color w:val="auto"/>
                <w:vertAlign w:val="superscript"/>
              </w:rPr>
              <w:t>3</w:t>
            </w:r>
            <w:r>
              <w:rPr>
                <w:rFonts w:hint="eastAsia"/>
                <w:color w:val="auto"/>
              </w:rPr>
              <w:t>/d（6000m</w:t>
            </w:r>
            <w:r>
              <w:rPr>
                <w:rFonts w:hint="eastAsia"/>
                <w:color w:val="auto"/>
                <w:vertAlign w:val="superscript"/>
              </w:rPr>
              <w:t>3</w:t>
            </w:r>
            <w:r>
              <w:rPr>
                <w:rFonts w:hint="eastAsia"/>
                <w:color w:val="auto"/>
              </w:rPr>
              <w:t>/a）。该水全部随物料带走或蒸发损失，蒸发量等损耗量按10%计算，其余90%随物料进入下一工序。</w:t>
            </w:r>
          </w:p>
          <w:p>
            <w:pPr>
              <w:pStyle w:val="31"/>
              <w:ind w:firstLine="482"/>
              <w:rPr>
                <w:b/>
                <w:color w:val="auto"/>
              </w:rPr>
            </w:pPr>
            <w:r>
              <w:rPr>
                <w:rFonts w:hint="eastAsia"/>
                <w:b/>
                <w:color w:val="auto"/>
              </w:rPr>
              <w:t>（5）初期雨水和地表径流</w:t>
            </w:r>
          </w:p>
          <w:p>
            <w:pPr>
              <w:pStyle w:val="31"/>
              <w:rPr>
                <w:color w:val="auto"/>
              </w:rPr>
            </w:pPr>
            <w:r>
              <w:rPr>
                <w:rFonts w:hint="eastAsia"/>
                <w:color w:val="auto"/>
              </w:rPr>
              <w:t>在暴雨、洪水等恶劣气候条件下，本项目厂区地面不可避免的会遭遇雨水的冲刷，使得厂区成为较大的面状污染源，在厂区道路及未硬化区域区域会有部分泥浆、泥沙水排出。据业主提供资料可知，项目原料和产品的主要化学成分为</w:t>
            </w:r>
            <w:r>
              <w:rPr>
                <w:color w:val="auto"/>
              </w:rPr>
              <w:t>SiO</w:t>
            </w:r>
            <w:r>
              <w:rPr>
                <w:color w:val="auto"/>
                <w:vertAlign w:val="subscript"/>
              </w:rPr>
              <w:t>2</w:t>
            </w:r>
            <w:r>
              <w:rPr>
                <w:rFonts w:hint="eastAsia"/>
                <w:color w:val="auto"/>
              </w:rPr>
              <w:t>，且物料均室内堆放，不会浸出重金属等有毒有害物质</w:t>
            </w:r>
            <w:r>
              <w:rPr>
                <w:color w:val="auto"/>
              </w:rPr>
              <w:t>。</w:t>
            </w:r>
          </w:p>
          <w:p>
            <w:pPr>
              <w:pStyle w:val="31"/>
              <w:rPr>
                <w:color w:val="auto"/>
              </w:rPr>
            </w:pPr>
            <w:r>
              <w:rPr>
                <w:rFonts w:hint="eastAsia"/>
                <w:color w:val="auto"/>
              </w:rPr>
              <w:t>本项目场地雨后地表径流冲刷浮土、砂石等形成的泥浆废水产生量可根据地表径流雨水推荐公式估算：</w:t>
            </w:r>
          </w:p>
          <w:p>
            <w:pPr>
              <w:pStyle w:val="31"/>
              <w:ind w:firstLine="0" w:firstLineChars="0"/>
              <w:jc w:val="center"/>
              <w:rPr>
                <w:rFonts w:cs="Times New Roman"/>
                <w:color w:val="auto"/>
              </w:rPr>
            </w:pPr>
            <w:r>
              <w:rPr>
                <w:rFonts w:cs="Times New Roman"/>
                <w:color w:val="auto"/>
                <w:position w:val="-10"/>
              </w:rPr>
              <w:object>
                <v:shape id="_x0000_i1031" o:spt="75" type="#_x0000_t75" style="height:16pt;width:56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p>
          <w:p>
            <w:pPr>
              <w:pStyle w:val="31"/>
              <w:rPr>
                <w:rFonts w:cs="Times New Roman"/>
                <w:color w:val="auto"/>
              </w:rPr>
            </w:pPr>
            <w:r>
              <w:rPr>
                <w:rFonts w:cs="Times New Roman"/>
                <w:color w:val="auto"/>
              </w:rPr>
              <w:t>其中Q——</w:t>
            </w:r>
            <w:r>
              <w:rPr>
                <w:rFonts w:hint="eastAsia" w:cs="Times New Roman"/>
                <w:color w:val="auto"/>
              </w:rPr>
              <w:t>大气降雨汇入场地的汇水量，m</w:t>
            </w:r>
            <w:r>
              <w:rPr>
                <w:rFonts w:hint="eastAsia" w:cs="Times New Roman"/>
                <w:color w:val="auto"/>
                <w:vertAlign w:val="superscript"/>
              </w:rPr>
              <w:t>3</w:t>
            </w:r>
            <w:r>
              <w:rPr>
                <w:rFonts w:hint="eastAsia" w:cs="Times New Roman"/>
                <w:color w:val="auto"/>
              </w:rPr>
              <w:t>/d；</w:t>
            </w:r>
            <w:r>
              <w:rPr>
                <w:rFonts w:cs="Times New Roman"/>
                <w:color w:val="auto"/>
              </w:rPr>
              <w:t>；</w:t>
            </w:r>
          </w:p>
          <w:p>
            <w:pPr>
              <w:pStyle w:val="31"/>
              <w:rPr>
                <w:rFonts w:cs="Times New Roman"/>
                <w:color w:val="auto"/>
              </w:rPr>
            </w:pPr>
            <w:r>
              <w:rPr>
                <w:rFonts w:cs="Times New Roman"/>
                <w:color w:val="auto"/>
              </w:rPr>
              <w:t xml:space="preserve">    Ψ——</w:t>
            </w:r>
            <w:bookmarkStart w:id="54" w:name="OLE_LINK3"/>
            <w:r>
              <w:rPr>
                <w:rFonts w:cs="Times New Roman"/>
                <w:color w:val="auto"/>
              </w:rPr>
              <w:t>地面径流系数，取0.</w:t>
            </w:r>
            <w:bookmarkEnd w:id="54"/>
            <w:r>
              <w:rPr>
                <w:rFonts w:hint="eastAsia" w:cs="Times New Roman"/>
                <w:color w:val="auto"/>
              </w:rPr>
              <w:t>9</w:t>
            </w:r>
            <w:r>
              <w:rPr>
                <w:rFonts w:cs="Times New Roman"/>
                <w:color w:val="auto"/>
              </w:rPr>
              <w:t>；</w:t>
            </w:r>
          </w:p>
          <w:p>
            <w:pPr>
              <w:pStyle w:val="31"/>
              <w:rPr>
                <w:rFonts w:cs="Times New Roman"/>
                <w:color w:val="auto"/>
              </w:rPr>
            </w:pPr>
            <w:r>
              <w:rPr>
                <w:rFonts w:cs="Times New Roman"/>
                <w:color w:val="auto"/>
              </w:rPr>
              <w:t xml:space="preserve">    </w:t>
            </w:r>
            <w:r>
              <w:rPr>
                <w:rFonts w:hint="eastAsia" w:cs="Times New Roman"/>
                <w:color w:val="auto"/>
              </w:rPr>
              <w:t>A</w:t>
            </w:r>
            <w:r>
              <w:rPr>
                <w:rFonts w:cs="Times New Roman"/>
                <w:color w:val="auto"/>
              </w:rPr>
              <w:t>——</w:t>
            </w:r>
            <w:r>
              <w:rPr>
                <w:rFonts w:hint="eastAsia" w:cs="Times New Roman"/>
                <w:color w:val="auto"/>
              </w:rPr>
              <w:t>历年平均降水量，m</w:t>
            </w:r>
            <w:r>
              <w:rPr>
                <w:rFonts w:cs="Times New Roman"/>
                <w:color w:val="auto"/>
              </w:rPr>
              <w:t>；</w:t>
            </w:r>
          </w:p>
          <w:p>
            <w:pPr>
              <w:pStyle w:val="31"/>
              <w:rPr>
                <w:rFonts w:cs="Times New Roman"/>
                <w:color w:val="auto"/>
              </w:rPr>
            </w:pPr>
            <w:r>
              <w:rPr>
                <w:rFonts w:cs="Times New Roman"/>
                <w:color w:val="auto"/>
              </w:rPr>
              <w:t xml:space="preserve">    S——汇水面积（m</w:t>
            </w:r>
            <w:r>
              <w:rPr>
                <w:rFonts w:cs="Times New Roman"/>
                <w:color w:val="auto"/>
                <w:vertAlign w:val="superscript"/>
              </w:rPr>
              <w:t>2</w:t>
            </w:r>
            <w:r>
              <w:rPr>
                <w:rFonts w:cs="Times New Roman"/>
                <w:color w:val="auto"/>
              </w:rPr>
              <w:t>），本项目</w:t>
            </w:r>
            <w:r>
              <w:rPr>
                <w:rFonts w:hint="eastAsia" w:cs="Times New Roman"/>
                <w:color w:val="auto"/>
              </w:rPr>
              <w:t>取5000</w:t>
            </w:r>
            <w:r>
              <w:rPr>
                <w:rFonts w:cs="Times New Roman"/>
                <w:color w:val="auto"/>
              </w:rPr>
              <w:t>m</w:t>
            </w:r>
            <w:r>
              <w:rPr>
                <w:rFonts w:cs="Times New Roman"/>
                <w:color w:val="auto"/>
                <w:vertAlign w:val="superscript"/>
              </w:rPr>
              <w:t>2</w:t>
            </w:r>
            <w:r>
              <w:rPr>
                <w:rFonts w:cs="Times New Roman"/>
                <w:color w:val="auto"/>
              </w:rPr>
              <w:t>。</w:t>
            </w:r>
          </w:p>
          <w:p>
            <w:pPr>
              <w:pStyle w:val="31"/>
              <w:rPr>
                <w:rFonts w:cs="Times New Roman"/>
                <w:color w:val="auto"/>
              </w:rPr>
            </w:pPr>
            <w:r>
              <w:rPr>
                <w:rFonts w:hint="eastAsia" w:cs="Times New Roman"/>
                <w:color w:val="auto"/>
              </w:rPr>
              <w:t>根据邵阳市气象站资料统计，邵东县多年平均降雨量约为1350mm，最大日降雨量151mm。</w:t>
            </w:r>
            <w:r>
              <w:rPr>
                <w:rFonts w:cs="Times New Roman"/>
                <w:color w:val="auto"/>
              </w:rPr>
              <w:t>由上式估算得，</w:t>
            </w:r>
            <w:r>
              <w:rPr>
                <w:rFonts w:hint="eastAsia" w:cs="Times New Roman"/>
                <w:color w:val="auto"/>
              </w:rPr>
              <w:t>汇水区降水水量为6750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，其中</w:t>
            </w:r>
            <w:r>
              <w:rPr>
                <w:rFonts w:cs="Times New Roman"/>
                <w:color w:val="auto"/>
              </w:rPr>
              <w:t>地表径流水产生量为</w:t>
            </w:r>
            <w:r>
              <w:rPr>
                <w:rFonts w:hint="eastAsia" w:cs="Times New Roman"/>
                <w:color w:val="auto"/>
              </w:rPr>
              <w:t>3150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地表径流水</w:t>
            </w:r>
            <w:r>
              <w:rPr>
                <w:rFonts w:cs="Times New Roman"/>
                <w:color w:val="auto"/>
              </w:rPr>
              <w:t>中主要污染因子为SS</w:t>
            </w:r>
            <w:r>
              <w:rPr>
                <w:rFonts w:hint="eastAsia" w:cs="Times New Roman"/>
                <w:color w:val="auto"/>
              </w:rPr>
              <w:t>，浓度可达1800mg/L。该部分雨水</w:t>
            </w:r>
            <w:r>
              <w:rPr>
                <w:rFonts w:cs="Times New Roman"/>
                <w:color w:val="auto"/>
              </w:rPr>
              <w:t>经截洪沟收集</w:t>
            </w:r>
            <w:r>
              <w:rPr>
                <w:rFonts w:hint="eastAsia" w:cs="Times New Roman"/>
                <w:color w:val="auto"/>
              </w:rPr>
              <w:t>和</w:t>
            </w:r>
            <w:r>
              <w:rPr>
                <w:rFonts w:cs="Times New Roman"/>
                <w:color w:val="auto"/>
              </w:rPr>
              <w:t>沉淀处理</w:t>
            </w:r>
            <w:r>
              <w:rPr>
                <w:rFonts w:hint="eastAsia" w:cs="Times New Roman"/>
                <w:color w:val="auto"/>
              </w:rPr>
              <w:t>后回用作生产用水</w:t>
            </w:r>
            <w:r>
              <w:rPr>
                <w:rFonts w:cs="Times New Roman"/>
                <w:color w:val="auto"/>
              </w:rPr>
              <w:t>。</w:t>
            </w:r>
          </w:p>
          <w:p>
            <w:pPr>
              <w:pStyle w:val="31"/>
              <w:rPr>
                <w:rFonts w:cs="Times New Roman"/>
                <w:color w:val="auto"/>
              </w:rPr>
            </w:pPr>
            <w:r>
              <w:rPr>
                <w:rFonts w:cs="Times New Roman"/>
                <w:color w:val="auto"/>
              </w:rPr>
              <w:t>本项目位于</w:t>
            </w:r>
            <w:r>
              <w:rPr>
                <w:rFonts w:hint="eastAsia" w:cs="Times New Roman"/>
                <w:color w:val="auto"/>
              </w:rPr>
              <w:t>邵阳市邵东县</w:t>
            </w:r>
            <w:r>
              <w:rPr>
                <w:rFonts w:cs="Times New Roman"/>
                <w:color w:val="auto"/>
              </w:rPr>
              <w:t>，暴雨强度计算公式如下：</w:t>
            </w:r>
          </w:p>
          <w:p>
            <w:pPr>
              <w:pStyle w:val="31"/>
              <w:ind w:firstLine="0" w:firstLineChars="0"/>
              <w:jc w:val="center"/>
              <w:rPr>
                <w:rFonts w:cs="Times New Roman"/>
                <w:color w:val="auto"/>
              </w:rPr>
            </w:pPr>
            <w:r>
              <w:rPr>
                <w:rFonts w:cs="Times New Roman"/>
                <w:color w:val="auto"/>
                <w:position w:val="-34"/>
              </w:rPr>
              <w:object>
                <v:shape id="_x0000_i1032" o:spt="75" type="#_x0000_t75" style="height:36pt;width:138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p>
          <w:p>
            <w:pPr>
              <w:pStyle w:val="31"/>
              <w:rPr>
                <w:rFonts w:cs="Times New Roman"/>
                <w:color w:val="auto"/>
              </w:rPr>
            </w:pPr>
            <w:r>
              <w:rPr>
                <w:rFonts w:cs="Times New Roman"/>
                <w:color w:val="auto"/>
              </w:rPr>
              <w:t>其中</w:t>
            </w:r>
            <w:r>
              <w:rPr>
                <w:rFonts w:hint="eastAsia" w:cs="Times New Roman"/>
                <w:color w:val="auto"/>
              </w:rPr>
              <w:t>i</w:t>
            </w:r>
            <w:r>
              <w:rPr>
                <w:rFonts w:cs="Times New Roman"/>
                <w:color w:val="auto"/>
              </w:rPr>
              <w:t>——暴雨强度（</w:t>
            </w:r>
            <w:r>
              <w:rPr>
                <w:rFonts w:hint="eastAsia" w:cs="Times New Roman"/>
                <w:color w:val="auto"/>
              </w:rPr>
              <w:t>mm</w:t>
            </w:r>
            <w:r>
              <w:rPr>
                <w:rFonts w:cs="Times New Roman"/>
                <w:color w:val="auto"/>
              </w:rPr>
              <w:t>/</w:t>
            </w:r>
            <w:r>
              <w:rPr>
                <w:rFonts w:hint="eastAsia" w:cs="Times New Roman"/>
                <w:color w:val="auto"/>
              </w:rPr>
              <w:t>min</w:t>
            </w:r>
            <w:r>
              <w:rPr>
                <w:rFonts w:cs="Times New Roman"/>
                <w:color w:val="auto"/>
              </w:rPr>
              <w:t>）</w:t>
            </w:r>
          </w:p>
          <w:p>
            <w:pPr>
              <w:pStyle w:val="31"/>
              <w:rPr>
                <w:rFonts w:cs="Times New Roman"/>
                <w:color w:val="auto"/>
              </w:rPr>
            </w:pPr>
            <w:r>
              <w:rPr>
                <w:rFonts w:cs="Times New Roman"/>
                <w:color w:val="auto"/>
              </w:rPr>
              <w:t xml:space="preserve">    t——降雨历时（min），本评价取</w:t>
            </w:r>
            <w:r>
              <w:rPr>
                <w:rFonts w:hint="eastAsia" w:cs="Times New Roman"/>
                <w:color w:val="auto"/>
              </w:rPr>
              <w:t>15</w:t>
            </w:r>
            <w:r>
              <w:rPr>
                <w:rFonts w:cs="Times New Roman"/>
                <w:color w:val="auto"/>
              </w:rPr>
              <w:t>；</w:t>
            </w:r>
          </w:p>
          <w:p>
            <w:pPr>
              <w:pStyle w:val="31"/>
              <w:rPr>
                <w:rFonts w:cs="Times New Roman"/>
                <w:color w:val="auto"/>
              </w:rPr>
            </w:pPr>
            <w:r>
              <w:rPr>
                <w:rFonts w:cs="Times New Roman"/>
                <w:color w:val="auto"/>
              </w:rPr>
              <w:t xml:space="preserve">    </w:t>
            </w:r>
            <w:r>
              <w:rPr>
                <w:rFonts w:hint="eastAsia" w:cs="Times New Roman"/>
                <w:color w:val="auto"/>
              </w:rPr>
              <w:t>Te</w:t>
            </w:r>
            <w:r>
              <w:rPr>
                <w:rFonts w:cs="Times New Roman"/>
                <w:color w:val="auto"/>
              </w:rPr>
              <w:t>——重现期（年），取2；</w:t>
            </w:r>
          </w:p>
          <w:p>
            <w:pPr>
              <w:pStyle w:val="31"/>
              <w:ind w:firstLine="960" w:firstLineChars="400"/>
              <w:rPr>
                <w:rFonts w:cs="Times New Roman"/>
                <w:color w:val="auto"/>
              </w:rPr>
            </w:pPr>
            <w:r>
              <w:rPr>
                <w:rFonts w:cs="Times New Roman"/>
                <w:color w:val="auto"/>
              </w:rPr>
              <w:t>q——暴雨强度（L/s·hm</w:t>
            </w:r>
            <w:r>
              <w:rPr>
                <w:rFonts w:cs="Times New Roman"/>
                <w:color w:val="auto"/>
                <w:vertAlign w:val="superscript"/>
              </w:rPr>
              <w:t>2</w:t>
            </w:r>
            <w:r>
              <w:rPr>
                <w:rFonts w:cs="Times New Roman"/>
                <w:color w:val="auto"/>
              </w:rPr>
              <w:t>）</w:t>
            </w:r>
            <w:r>
              <w:rPr>
                <w:rFonts w:hint="eastAsia" w:cs="Times New Roman"/>
                <w:color w:val="auto"/>
              </w:rPr>
              <w:t>，i=0.006q，即q=166.67i</w:t>
            </w:r>
            <w:r>
              <w:rPr>
                <w:rFonts w:cs="Times New Roman"/>
                <w:color w:val="auto"/>
                <w:position w:val="-4"/>
              </w:rPr>
              <w:object>
                <v:shape id="_x0000_i1033" o:spt="75" type="#_x0000_t75" style="height:13.95pt;width:9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cs="Times New Roman"/>
                <w:color w:val="auto"/>
              </w:rPr>
              <w:t>；</w:t>
            </w:r>
          </w:p>
          <w:p>
            <w:pPr>
              <w:pStyle w:val="31"/>
              <w:rPr>
                <w:rFonts w:cs="Times New Roman"/>
                <w:color w:val="auto"/>
              </w:rPr>
            </w:pPr>
            <w:r>
              <w:rPr>
                <w:rFonts w:cs="Times New Roman"/>
                <w:color w:val="auto"/>
              </w:rPr>
              <w:t>则可计算得项目</w:t>
            </w:r>
            <w:r>
              <w:rPr>
                <w:rFonts w:hint="eastAsia" w:cs="Times New Roman"/>
                <w:color w:val="auto"/>
              </w:rPr>
              <w:t>暴雨强度q=252.48</w:t>
            </w:r>
            <w:r>
              <w:rPr>
                <w:rFonts w:cs="Times New Roman"/>
                <w:color w:val="auto"/>
              </w:rPr>
              <w:t>L/s•hm</w:t>
            </w:r>
            <w:r>
              <w:rPr>
                <w:rFonts w:cs="Times New Roman"/>
                <w:color w:val="auto"/>
                <w:vertAlign w:val="superscript"/>
              </w:rPr>
              <w:t>2</w:t>
            </w:r>
            <w:r>
              <w:rPr>
                <w:rFonts w:hint="eastAsia" w:cs="Times New Roman"/>
                <w:color w:val="auto"/>
              </w:rPr>
              <w:t>，地面径流系数取0.9，汇水面积取5000</w:t>
            </w:r>
            <w:r>
              <w:rPr>
                <w:rFonts w:cs="Times New Roman"/>
                <w:color w:val="auto"/>
              </w:rPr>
              <w:t>m</w:t>
            </w:r>
            <w:r>
              <w:rPr>
                <w:rFonts w:cs="Times New Roman"/>
                <w:color w:val="auto"/>
                <w:vertAlign w:val="superscript"/>
              </w:rPr>
              <w:t>2</w:t>
            </w:r>
            <w:r>
              <w:rPr>
                <w:rFonts w:hint="eastAsia" w:cs="Times New Roman"/>
                <w:color w:val="auto"/>
              </w:rPr>
              <w:t>，</w:t>
            </w:r>
            <w:r>
              <w:rPr>
                <w:rFonts w:cs="Times New Roman"/>
                <w:color w:val="auto"/>
              </w:rPr>
              <w:t>单次暴雨时间取1</w:t>
            </w:r>
            <w:r>
              <w:rPr>
                <w:rFonts w:hint="eastAsia" w:cs="Times New Roman"/>
                <w:color w:val="auto"/>
              </w:rPr>
              <w:t>0</w:t>
            </w:r>
            <w:r>
              <w:rPr>
                <w:rFonts w:cs="Times New Roman"/>
                <w:color w:val="auto"/>
              </w:rPr>
              <w:t>min，</w:t>
            </w:r>
            <w:r>
              <w:rPr>
                <w:rFonts w:hint="eastAsia" w:cs="Times New Roman"/>
                <w:color w:val="auto"/>
              </w:rPr>
              <w:t>则</w:t>
            </w:r>
            <w:r>
              <w:rPr>
                <w:rFonts w:cs="Times New Roman"/>
                <w:color w:val="auto"/>
              </w:rPr>
              <w:t>初期雨水流量为</w:t>
            </w:r>
            <w:r>
              <w:rPr>
                <w:rFonts w:hint="eastAsia" w:cs="Times New Roman"/>
                <w:color w:val="auto"/>
              </w:rPr>
              <w:t>113.62</w:t>
            </w:r>
            <w:r>
              <w:rPr>
                <w:rFonts w:cs="Times New Roman"/>
                <w:color w:val="auto"/>
              </w:rPr>
              <w:t>L/s</w:t>
            </w:r>
            <w:r>
              <w:rPr>
                <w:rFonts w:hint="eastAsia" w:cs="Times New Roman"/>
                <w:color w:val="auto"/>
              </w:rPr>
              <w:t>，单次</w:t>
            </w:r>
            <w:r>
              <w:rPr>
                <w:rFonts w:cs="Times New Roman"/>
                <w:color w:val="auto"/>
              </w:rPr>
              <w:t>雨水量为</w:t>
            </w:r>
            <w:r>
              <w:rPr>
                <w:rFonts w:hint="eastAsia" w:cs="Times New Roman"/>
                <w:color w:val="auto"/>
              </w:rPr>
              <w:t>68.2</w:t>
            </w:r>
            <w:r>
              <w:rPr>
                <w:rFonts w:cs="Times New Roman"/>
                <w:color w:val="auto"/>
              </w:rPr>
              <w:t>m</w:t>
            </w:r>
            <w:r>
              <w:rPr>
                <w:rFonts w:cs="Times New Roman"/>
                <w:color w:val="auto"/>
                <w:vertAlign w:val="superscript"/>
              </w:rPr>
              <w:t>3</w:t>
            </w:r>
            <w:r>
              <w:rPr>
                <w:rFonts w:cs="Times New Roman"/>
                <w:color w:val="auto"/>
              </w:rPr>
              <w:t>/次。</w:t>
            </w:r>
            <w:r>
              <w:rPr>
                <w:rFonts w:hint="eastAsia" w:cs="Times New Roman"/>
                <w:color w:val="auto"/>
              </w:rPr>
              <w:t>根据计算，建议本项目初期雨水沉淀池容积不低于70m</w:t>
            </w:r>
            <w:r>
              <w:rPr>
                <w:rFonts w:hint="eastAsia" w:cs="Times New Roman"/>
                <w:color w:val="auto"/>
                <w:vertAlign w:val="superscript"/>
              </w:rPr>
              <w:t>3</w:t>
            </w:r>
            <w:r>
              <w:rPr>
                <w:rFonts w:hint="eastAsia" w:cs="Times New Roman"/>
                <w:color w:val="auto"/>
              </w:rPr>
              <w:t>。</w:t>
            </w:r>
          </w:p>
          <w:p>
            <w:pPr>
              <w:pStyle w:val="31"/>
              <w:ind w:firstLine="482"/>
              <w:rPr>
                <w:b/>
                <w:color w:val="auto"/>
              </w:rPr>
            </w:pPr>
            <w:r>
              <w:rPr>
                <w:rFonts w:hint="eastAsia"/>
                <w:b/>
                <w:color w:val="auto"/>
              </w:rPr>
              <w:t>（6）项目水平衡分析</w:t>
            </w:r>
          </w:p>
          <w:p>
            <w:pPr>
              <w:pStyle w:val="31"/>
              <w:rPr>
                <w:color w:val="auto"/>
              </w:rPr>
            </w:pPr>
            <w:r>
              <w:rPr>
                <w:rFonts w:hint="eastAsia"/>
                <w:color w:val="auto"/>
              </w:rPr>
              <w:t>① 生活用水：生活用水按45L/人</w:t>
            </w:r>
            <w:r>
              <w:rPr>
                <w:rFonts w:hint="eastAsia" w:ascii="MS Mincho" w:hAnsi="MS Mincho" w:eastAsia="MS Mincho" w:cs="MS Mincho"/>
                <w:color w:val="auto"/>
              </w:rPr>
              <w:t>▪</w:t>
            </w:r>
            <w:r>
              <w:rPr>
                <w:rFonts w:hint="eastAsia"/>
                <w:color w:val="auto"/>
              </w:rPr>
              <w:t>天计，</w:t>
            </w:r>
            <w:r>
              <w:rPr>
                <w:color w:val="auto"/>
              </w:rPr>
              <w:t>项目</w:t>
            </w:r>
            <w:r>
              <w:rPr>
                <w:rFonts w:hint="eastAsia"/>
                <w:color w:val="auto"/>
              </w:rPr>
              <w:t>劳动定员10人，</w:t>
            </w:r>
            <w:r>
              <w:rPr>
                <w:color w:val="auto"/>
              </w:rPr>
              <w:t>年生产</w:t>
            </w:r>
            <w:r>
              <w:rPr>
                <w:rFonts w:hint="eastAsia"/>
                <w:color w:val="auto"/>
              </w:rPr>
              <w:t>300</w:t>
            </w:r>
            <w:r>
              <w:rPr>
                <w:color w:val="auto"/>
              </w:rPr>
              <w:t>天，则</w:t>
            </w:r>
            <w:r>
              <w:rPr>
                <w:rFonts w:hint="eastAsia"/>
                <w:color w:val="auto"/>
              </w:rPr>
              <w:t>项目</w:t>
            </w:r>
            <w:r>
              <w:rPr>
                <w:color w:val="auto"/>
              </w:rPr>
              <w:t>生活用水量为</w:t>
            </w:r>
            <w:r>
              <w:rPr>
                <w:rFonts w:hint="eastAsia" w:cs="Times New Roman"/>
                <w:color w:val="auto"/>
              </w:rPr>
              <w:t>0.45</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d（135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w:t>
            </w:r>
            <w:r>
              <w:rPr>
                <w:rFonts w:hint="eastAsia"/>
                <w:color w:val="auto"/>
                <w:spacing w:val="6"/>
              </w:rPr>
              <w:t>产污系数按0.8计算，企业生活污水产生量0.36</w:t>
            </w:r>
            <w:r>
              <w:rPr>
                <w:rFonts w:cs="Times New Roman"/>
                <w:color w:val="auto"/>
              </w:rPr>
              <w:t>m</w:t>
            </w:r>
            <w:r>
              <w:rPr>
                <w:rFonts w:cs="Times New Roman"/>
                <w:color w:val="auto"/>
                <w:vertAlign w:val="superscript"/>
              </w:rPr>
              <w:t>3</w:t>
            </w:r>
            <w:r>
              <w:rPr>
                <w:rFonts w:hint="eastAsia"/>
                <w:color w:val="auto"/>
                <w:spacing w:val="6"/>
              </w:rPr>
              <w:t>/d（108</w:t>
            </w:r>
            <w:r>
              <w:rPr>
                <w:rFonts w:cs="Times New Roman"/>
                <w:color w:val="auto"/>
              </w:rPr>
              <w:t>m</w:t>
            </w:r>
            <w:r>
              <w:rPr>
                <w:rFonts w:cs="Times New Roman"/>
                <w:color w:val="auto"/>
                <w:vertAlign w:val="superscript"/>
              </w:rPr>
              <w:t>3</w:t>
            </w:r>
            <w:r>
              <w:rPr>
                <w:rFonts w:hint="eastAsia"/>
                <w:color w:val="auto"/>
                <w:spacing w:val="6"/>
              </w:rPr>
              <w:t>/a）。</w:t>
            </w:r>
          </w:p>
          <w:p>
            <w:pPr>
              <w:pStyle w:val="31"/>
              <w:rPr>
                <w:color w:val="auto"/>
              </w:rPr>
            </w:pPr>
            <w:r>
              <w:rPr>
                <w:rFonts w:hint="eastAsia"/>
                <w:color w:val="auto"/>
              </w:rPr>
              <w:t>② 车辆清洗用水：</w:t>
            </w:r>
            <w:r>
              <w:rPr>
                <w:color w:val="auto"/>
              </w:rPr>
              <w:t>项目运输车辆每天出场</w:t>
            </w:r>
            <w:r>
              <w:rPr>
                <w:rFonts w:hint="eastAsia"/>
                <w:color w:val="auto"/>
              </w:rPr>
              <w:t>40</w:t>
            </w:r>
            <w:r>
              <w:rPr>
                <w:color w:val="auto"/>
              </w:rPr>
              <w:t>车次，用水定额按0.1m</w:t>
            </w:r>
            <w:r>
              <w:rPr>
                <w:color w:val="auto"/>
                <w:vertAlign w:val="superscript"/>
              </w:rPr>
              <w:t>3</w:t>
            </w:r>
            <w:r>
              <w:rPr>
                <w:color w:val="auto"/>
              </w:rPr>
              <w:t>/次·辆计，则共需用水量</w:t>
            </w:r>
            <w:r>
              <w:rPr>
                <w:rFonts w:hint="eastAsia"/>
                <w:color w:val="auto"/>
              </w:rPr>
              <w:t>4</w:t>
            </w:r>
            <w:r>
              <w:rPr>
                <w:color w:val="auto"/>
              </w:rPr>
              <w:t>m</w:t>
            </w:r>
            <w:r>
              <w:rPr>
                <w:color w:val="auto"/>
                <w:vertAlign w:val="superscript"/>
              </w:rPr>
              <w:t>3</w:t>
            </w:r>
            <w:r>
              <w:rPr>
                <w:color w:val="auto"/>
              </w:rPr>
              <w:t>/d</w:t>
            </w:r>
            <w:r>
              <w:rPr>
                <w:rFonts w:hint="eastAsia"/>
                <w:color w:val="auto"/>
              </w:rPr>
              <w:t>（</w:t>
            </w:r>
            <w:r>
              <w:rPr>
                <w:color w:val="auto"/>
              </w:rPr>
              <w:t>即</w:t>
            </w:r>
            <w:r>
              <w:rPr>
                <w:rFonts w:hint="eastAsia"/>
                <w:color w:val="auto"/>
              </w:rPr>
              <w:t>1200</w:t>
            </w:r>
            <w:r>
              <w:rPr>
                <w:color w:val="auto"/>
              </w:rPr>
              <w:t>m</w:t>
            </w:r>
            <w:r>
              <w:rPr>
                <w:color w:val="auto"/>
                <w:vertAlign w:val="superscript"/>
              </w:rPr>
              <w:t>3</w:t>
            </w:r>
            <w:r>
              <w:rPr>
                <w:color w:val="auto"/>
              </w:rPr>
              <w:t>/a</w:t>
            </w:r>
            <w:r>
              <w:rPr>
                <w:rFonts w:hint="eastAsia"/>
                <w:color w:val="auto"/>
              </w:rPr>
              <w:t>）</w:t>
            </w:r>
            <w:r>
              <w:rPr>
                <w:color w:val="auto"/>
              </w:rPr>
              <w:t>，产污系数按0.</w:t>
            </w:r>
            <w:r>
              <w:rPr>
                <w:rFonts w:hint="eastAsia"/>
                <w:color w:val="auto"/>
              </w:rPr>
              <w:t>9</w:t>
            </w:r>
            <w:r>
              <w:rPr>
                <w:color w:val="auto"/>
              </w:rPr>
              <w:t>计，则清洗废水量为</w:t>
            </w:r>
            <w:r>
              <w:rPr>
                <w:rFonts w:hint="eastAsia"/>
                <w:color w:val="auto"/>
              </w:rPr>
              <w:t>3.6</w:t>
            </w:r>
            <w:r>
              <w:rPr>
                <w:color w:val="auto"/>
              </w:rPr>
              <w:t>m</w:t>
            </w:r>
            <w:r>
              <w:rPr>
                <w:color w:val="auto"/>
                <w:vertAlign w:val="superscript"/>
              </w:rPr>
              <w:t>3</w:t>
            </w:r>
            <w:r>
              <w:rPr>
                <w:color w:val="auto"/>
              </w:rPr>
              <w:t>/d</w:t>
            </w:r>
            <w:r>
              <w:rPr>
                <w:rFonts w:hint="eastAsia"/>
                <w:color w:val="auto"/>
              </w:rPr>
              <w:t>（</w:t>
            </w:r>
            <w:r>
              <w:rPr>
                <w:color w:val="auto"/>
              </w:rPr>
              <w:t>即</w:t>
            </w:r>
            <w:r>
              <w:rPr>
                <w:rFonts w:hint="eastAsia"/>
                <w:color w:val="auto"/>
              </w:rPr>
              <w:t>1080</w:t>
            </w:r>
            <w:r>
              <w:rPr>
                <w:color w:val="auto"/>
              </w:rPr>
              <w:t>m</w:t>
            </w:r>
            <w:r>
              <w:rPr>
                <w:color w:val="auto"/>
                <w:vertAlign w:val="superscript"/>
              </w:rPr>
              <w:t>3</w:t>
            </w:r>
            <w:r>
              <w:rPr>
                <w:color w:val="auto"/>
              </w:rPr>
              <w:t>/a</w:t>
            </w:r>
            <w:r>
              <w:rPr>
                <w:rFonts w:hint="eastAsia"/>
                <w:color w:val="auto"/>
              </w:rPr>
              <w:t>）。</w:t>
            </w:r>
          </w:p>
          <w:p>
            <w:pPr>
              <w:pStyle w:val="31"/>
              <w:rPr>
                <w:color w:val="auto"/>
              </w:rPr>
            </w:pPr>
            <w:r>
              <w:rPr>
                <w:rFonts w:hint="eastAsia"/>
                <w:color w:val="auto"/>
              </w:rPr>
              <w:t>③ 场地抑尘用水：洒水频率按2次/天计，用水量按0.2L/m</w:t>
            </w:r>
            <w:r>
              <w:rPr>
                <w:rFonts w:hint="eastAsia"/>
                <w:color w:val="auto"/>
                <w:vertAlign w:val="superscript"/>
              </w:rPr>
              <w:t>2</w:t>
            </w:r>
            <w:r>
              <w:rPr>
                <w:color w:val="auto"/>
              </w:rPr>
              <w:t xml:space="preserve"> ▪</w:t>
            </w:r>
            <w:r>
              <w:rPr>
                <w:rFonts w:hint="eastAsia"/>
                <w:color w:val="auto"/>
              </w:rPr>
              <w:t>次计，洒水面积按5000m</w:t>
            </w:r>
            <w:r>
              <w:rPr>
                <w:rFonts w:hint="eastAsia"/>
                <w:color w:val="auto"/>
                <w:vertAlign w:val="superscript"/>
              </w:rPr>
              <w:t>2</w:t>
            </w:r>
            <w:r>
              <w:rPr>
                <w:rFonts w:hint="eastAsia"/>
                <w:color w:val="auto"/>
              </w:rPr>
              <w:t>计，则场地抑尘用水量为2.0m</w:t>
            </w:r>
            <w:r>
              <w:rPr>
                <w:rFonts w:hint="eastAsia"/>
                <w:color w:val="auto"/>
                <w:vertAlign w:val="superscript"/>
              </w:rPr>
              <w:t>3</w:t>
            </w:r>
            <w:r>
              <w:rPr>
                <w:rFonts w:hint="eastAsia"/>
                <w:color w:val="auto"/>
              </w:rPr>
              <w:t>/d（600m</w:t>
            </w:r>
            <w:r>
              <w:rPr>
                <w:rFonts w:hint="eastAsia"/>
                <w:color w:val="auto"/>
                <w:vertAlign w:val="superscript"/>
              </w:rPr>
              <w:t>3</w:t>
            </w:r>
            <w:r>
              <w:rPr>
                <w:rFonts w:hint="eastAsia"/>
                <w:color w:val="auto"/>
              </w:rPr>
              <w:t>/a）。场地抑尘水全部蒸发损耗或随物料带走。</w:t>
            </w:r>
          </w:p>
          <w:p>
            <w:pPr>
              <w:pStyle w:val="31"/>
              <w:rPr>
                <w:color w:val="auto"/>
              </w:rPr>
            </w:pPr>
            <w:r>
              <w:rPr>
                <w:rFonts w:hint="eastAsia"/>
                <w:color w:val="auto"/>
              </w:rPr>
              <w:t>④ 砂石生产投料抑尘用水：砂石生产投料口物料增湿喷头用水量按2.5m</w:t>
            </w:r>
            <w:r>
              <w:rPr>
                <w:rFonts w:hint="eastAsia"/>
                <w:color w:val="auto"/>
                <w:vertAlign w:val="superscript"/>
              </w:rPr>
              <w:t>3</w:t>
            </w:r>
            <w:r>
              <w:rPr>
                <w:rFonts w:hint="eastAsia"/>
                <w:color w:val="auto"/>
              </w:rPr>
              <w:t>/h计，则投料抑尘用水量约为20m</w:t>
            </w:r>
            <w:r>
              <w:rPr>
                <w:rFonts w:hint="eastAsia"/>
                <w:color w:val="auto"/>
                <w:vertAlign w:val="superscript"/>
              </w:rPr>
              <w:t>3</w:t>
            </w:r>
            <w:r>
              <w:rPr>
                <w:rFonts w:hint="eastAsia"/>
                <w:color w:val="auto"/>
              </w:rPr>
              <w:t>/d（6000m</w:t>
            </w:r>
            <w:r>
              <w:rPr>
                <w:rFonts w:hint="eastAsia"/>
                <w:color w:val="auto"/>
                <w:vertAlign w:val="superscript"/>
              </w:rPr>
              <w:t>3</w:t>
            </w:r>
            <w:r>
              <w:rPr>
                <w:rFonts w:hint="eastAsia"/>
                <w:color w:val="auto"/>
              </w:rPr>
              <w:t>/a）。该水全部随物料带走或蒸发损失，蒸发等损耗量按10%（600m</w:t>
            </w:r>
            <w:r>
              <w:rPr>
                <w:rFonts w:hint="eastAsia"/>
                <w:color w:val="auto"/>
                <w:vertAlign w:val="superscript"/>
              </w:rPr>
              <w:t>3</w:t>
            </w:r>
            <w:r>
              <w:rPr>
                <w:rFonts w:hint="eastAsia"/>
                <w:color w:val="auto"/>
              </w:rPr>
              <w:t>/a）计算，其余90%（5400m</w:t>
            </w:r>
            <w:r>
              <w:rPr>
                <w:rFonts w:hint="eastAsia"/>
                <w:color w:val="auto"/>
                <w:vertAlign w:val="superscript"/>
              </w:rPr>
              <w:t>3</w:t>
            </w:r>
            <w:r>
              <w:rPr>
                <w:rFonts w:hint="eastAsia"/>
                <w:color w:val="auto"/>
              </w:rPr>
              <w:t>/a）随物料进入下一工序。</w:t>
            </w:r>
          </w:p>
          <w:p>
            <w:pPr>
              <w:pStyle w:val="31"/>
              <w:rPr>
                <w:color w:val="auto"/>
              </w:rPr>
            </w:pPr>
            <w:r>
              <w:rPr>
                <w:rFonts w:hint="eastAsia"/>
                <w:color w:val="auto"/>
              </w:rPr>
              <w:t>⑤ 石材切割、抛磨等加工作业用水：根据设备参数核算，项目切割、抛磨等石材加工生产作业用水量约60</w:t>
            </w:r>
            <w:r>
              <w:rPr>
                <w:color w:val="auto"/>
              </w:rPr>
              <w:t>m</w:t>
            </w:r>
            <w:r>
              <w:rPr>
                <w:color w:val="auto"/>
                <w:vertAlign w:val="superscript"/>
              </w:rPr>
              <w:t>3</w:t>
            </w:r>
            <w:r>
              <w:rPr>
                <w:rFonts w:hint="eastAsia"/>
                <w:color w:val="auto"/>
              </w:rPr>
              <w:t>/h（144000m</w:t>
            </w:r>
            <w:r>
              <w:rPr>
                <w:rFonts w:hint="eastAsia"/>
                <w:color w:val="auto"/>
                <w:vertAlign w:val="superscript"/>
              </w:rPr>
              <w:t>3</w:t>
            </w:r>
            <w:r>
              <w:rPr>
                <w:rFonts w:hint="eastAsia"/>
                <w:color w:val="auto"/>
              </w:rPr>
              <w:t>/a）。石材切割、抛磨加工过程将吸收少量的水，此外还有一定量的水分蒸发损耗，参照同类型项目，石材吸收或蒸发等损失水量按2%计，则石材加工废水产生量为58.8</w:t>
            </w:r>
            <w:r>
              <w:rPr>
                <w:color w:val="auto"/>
              </w:rPr>
              <w:t>m</w:t>
            </w:r>
            <w:r>
              <w:rPr>
                <w:color w:val="auto"/>
                <w:vertAlign w:val="superscript"/>
              </w:rPr>
              <w:t>3</w:t>
            </w:r>
            <w:r>
              <w:rPr>
                <w:rFonts w:hint="eastAsia"/>
                <w:color w:val="auto"/>
              </w:rPr>
              <w:t>/h（141120m</w:t>
            </w:r>
            <w:r>
              <w:rPr>
                <w:rFonts w:hint="eastAsia"/>
                <w:color w:val="auto"/>
                <w:vertAlign w:val="superscript"/>
              </w:rPr>
              <w:t>3</w:t>
            </w:r>
            <w:r>
              <w:rPr>
                <w:rFonts w:hint="eastAsia"/>
                <w:color w:val="auto"/>
              </w:rPr>
              <w:t>/a）。</w:t>
            </w:r>
          </w:p>
          <w:p>
            <w:pPr>
              <w:pStyle w:val="31"/>
              <w:rPr>
                <w:color w:val="auto"/>
              </w:rPr>
            </w:pPr>
            <w:r>
              <w:rPr>
                <w:rFonts w:hint="eastAsia"/>
                <w:color w:val="auto"/>
              </w:rPr>
              <w:t>⑥ 沉淀池沉渣含水：根据核算，本项目沉淀池沉渣（石粉）产生量约420t/a，含水率按80%计，则随沉渣一同带走的水量为2100t/a。</w:t>
            </w:r>
          </w:p>
          <w:p>
            <w:pPr>
              <w:pStyle w:val="31"/>
              <w:rPr>
                <w:color w:val="auto"/>
              </w:rPr>
            </w:pPr>
            <w:r>
              <w:rPr>
                <w:rFonts w:hint="eastAsia"/>
                <w:color w:val="auto"/>
              </w:rPr>
              <w:t>⑦ 地表径流水：</w:t>
            </w:r>
            <w:r>
              <w:rPr>
                <w:rFonts w:hint="eastAsia" w:cs="Times New Roman"/>
                <w:color w:val="auto"/>
              </w:rPr>
              <w:t>汇水区降水水量为6750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，其中</w:t>
            </w:r>
            <w:r>
              <w:rPr>
                <w:rFonts w:cs="Times New Roman"/>
                <w:color w:val="auto"/>
              </w:rPr>
              <w:t>地表径流水产生量为</w:t>
            </w:r>
            <w:r>
              <w:rPr>
                <w:rFonts w:hint="eastAsia" w:cs="Times New Roman"/>
                <w:color w:val="auto"/>
              </w:rPr>
              <w:t>6075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，外排至周边溪沟或经沉淀后排入循环水池</w:t>
            </w:r>
            <w:r>
              <w:rPr>
                <w:rFonts w:cs="Times New Roman"/>
                <w:color w:val="auto"/>
              </w:rPr>
              <w:t>。</w:t>
            </w:r>
          </w:p>
          <w:p>
            <w:pPr>
              <w:pStyle w:val="31"/>
              <w:rPr>
                <w:color w:val="auto"/>
              </w:rPr>
            </w:pPr>
            <w:r>
              <w:rPr>
                <w:rFonts w:hint="eastAsia"/>
                <w:color w:val="auto"/>
              </w:rPr>
              <w:t>根据上述分析，本项目水平衡如下图所示。</w:t>
            </w:r>
          </w:p>
          <w:p>
            <w:pPr>
              <w:autoSpaceDE w:val="0"/>
              <w:autoSpaceDN w:val="0"/>
              <w:adjustRightInd w:val="0"/>
              <w:spacing w:before="156" w:beforeLines="50" w:line="360" w:lineRule="auto"/>
              <w:jc w:val="center"/>
              <w:rPr>
                <w:rFonts w:ascii="Times New Roman" w:hAnsi="Times New Roman" w:cs="Times New Roman"/>
                <w:sz w:val="24"/>
              </w:rPr>
            </w:pPr>
            <w:r>
              <w:rPr>
                <w:rFonts w:ascii="Times New Roman" w:hAnsi="Times New Roman" w:cs="Times New Roman"/>
                <w:sz w:val="24"/>
              </w:rPr>
              <w:object>
                <v:shape id="_x0000_i1034" o:spt="75" type="#_x0000_t75" style="height:366.15pt;width:429.9pt;" o:ole="t" filled="f" o:preferrelative="t" stroked="f" coordsize="21600,21600">
                  <v:path/>
                  <v:fill on="f" focussize="0,0"/>
                  <v:stroke on="f" joinstyle="miter"/>
                  <v:imagedata r:id="rId27" o:title=""/>
                  <o:lock v:ext="edit" aspectratio="t"/>
                  <w10:wrap type="none"/>
                  <w10:anchorlock/>
                </v:shape>
                <o:OLEObject Type="Embed" ProgID="Visio.Drawing.11" ShapeID="_x0000_i1034" DrawAspect="Content" ObjectID="_1468075734" r:id="rId26">
                  <o:LockedField>false</o:LockedField>
                </o:OLEObject>
              </w:object>
            </w:r>
          </w:p>
          <w:p>
            <w:pPr>
              <w:pStyle w:val="31"/>
              <w:ind w:firstLine="0" w:firstLineChars="0"/>
              <w:jc w:val="center"/>
              <w:rPr>
                <w:rFonts w:cs="Times New Roman"/>
                <w:b/>
                <w:color w:val="auto"/>
                <w:sz w:val="21"/>
                <w:lang w:val="zh-CN"/>
              </w:rPr>
            </w:pPr>
            <w:bookmarkStart w:id="55" w:name="OLE_LINK11"/>
            <w:bookmarkStart w:id="56" w:name="OLE_LINK12"/>
            <w:r>
              <w:rPr>
                <w:rFonts w:hint="eastAsia" w:cs="Times New Roman"/>
                <w:b/>
                <w:color w:val="auto"/>
                <w:sz w:val="21"/>
                <w:lang w:val="zh-CN"/>
              </w:rPr>
              <w:t>图5</w:t>
            </w:r>
            <w:r>
              <w:rPr>
                <w:rFonts w:hint="eastAsia" w:cs="Times New Roman"/>
                <w:b/>
                <w:color w:val="auto"/>
                <w:sz w:val="21"/>
              </w:rPr>
              <w:t>-4</w:t>
            </w:r>
            <w:r>
              <w:rPr>
                <w:rFonts w:hint="eastAsia" w:cs="Times New Roman"/>
                <w:b/>
                <w:color w:val="auto"/>
                <w:sz w:val="21"/>
                <w:lang w:val="zh-CN"/>
              </w:rPr>
              <w:t xml:space="preserve"> </w:t>
            </w:r>
            <w:r>
              <w:rPr>
                <w:rFonts w:cs="Times New Roman"/>
                <w:b/>
                <w:color w:val="auto"/>
                <w:sz w:val="21"/>
                <w:lang w:val="zh-CN"/>
              </w:rPr>
              <w:t xml:space="preserve">  项目</w:t>
            </w:r>
            <w:r>
              <w:rPr>
                <w:rFonts w:hint="eastAsia" w:cs="Times New Roman"/>
                <w:b/>
                <w:color w:val="auto"/>
                <w:sz w:val="21"/>
                <w:lang w:val="zh-CN"/>
              </w:rPr>
              <w:t>水平衡图（</w:t>
            </w:r>
            <w:r>
              <w:rPr>
                <w:rFonts w:hint="eastAsia" w:cs="Times New Roman"/>
                <w:b/>
                <w:color w:val="auto"/>
                <w:sz w:val="21"/>
              </w:rPr>
              <w:t>m</w:t>
            </w:r>
            <w:r>
              <w:rPr>
                <w:rFonts w:hint="eastAsia" w:cs="Times New Roman"/>
                <w:b/>
                <w:color w:val="auto"/>
                <w:sz w:val="21"/>
                <w:vertAlign w:val="superscript"/>
              </w:rPr>
              <w:t>3</w:t>
            </w:r>
            <w:r>
              <w:rPr>
                <w:rFonts w:hint="eastAsia" w:cs="Times New Roman"/>
                <w:b/>
                <w:color w:val="auto"/>
                <w:sz w:val="21"/>
              </w:rPr>
              <w:t>/a</w:t>
            </w:r>
            <w:r>
              <w:rPr>
                <w:rFonts w:hint="eastAsia" w:cs="Times New Roman"/>
                <w:b/>
                <w:color w:val="auto"/>
                <w:sz w:val="21"/>
                <w:lang w:val="zh-CN"/>
              </w:rPr>
              <w:t>）</w:t>
            </w:r>
          </w:p>
          <w:p>
            <w:pPr>
              <w:pStyle w:val="31"/>
              <w:ind w:firstLine="482"/>
              <w:rPr>
                <w:b/>
                <w:color w:val="auto"/>
              </w:rPr>
            </w:pPr>
            <w:r>
              <w:rPr>
                <w:rFonts w:hint="eastAsia"/>
                <w:b/>
                <w:color w:val="auto"/>
              </w:rPr>
              <w:t>（7）项目物料平衡分析</w:t>
            </w:r>
          </w:p>
          <w:p>
            <w:pPr>
              <w:pStyle w:val="31"/>
              <w:rPr>
                <w:color w:val="auto"/>
              </w:rPr>
            </w:pPr>
            <w:r>
              <w:rPr>
                <w:rFonts w:hint="eastAsia"/>
                <w:color w:val="auto"/>
              </w:rPr>
              <w:t>本项目为石材加工项目，同时利用自身石材加工生产线及外购石材加工厂的废边角石料等废弃资源进行砂石生产，主要产品为石板、成品砂和碎石。根据业主提供的资料，结合水平衡分析结果，得出本项目物料平衡如下所示。</w:t>
            </w:r>
          </w:p>
          <w:p>
            <w:pPr>
              <w:spacing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6</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项目物料平衡一览表（单位：t/a）</w:t>
            </w:r>
          </w:p>
          <w:tbl>
            <w:tblPr>
              <w:tblStyle w:val="25"/>
              <w:tblW w:w="91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71"/>
              <w:gridCol w:w="2126"/>
              <w:gridCol w:w="992"/>
              <w:gridCol w:w="993"/>
              <w:gridCol w:w="2268"/>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Align w:val="center"/>
                </w:tcPr>
                <w:p>
                  <w:pPr>
                    <w:pStyle w:val="52"/>
                    <w:kinsoku w:val="0"/>
                    <w:overflowPunct w:val="0"/>
                    <w:jc w:val="center"/>
                    <w:rPr>
                      <w:b/>
                      <w:sz w:val="21"/>
                      <w:szCs w:val="21"/>
                    </w:rPr>
                  </w:pPr>
                  <w:r>
                    <w:rPr>
                      <w:rFonts w:hint="eastAsia" w:ascii="宋体" w:hAnsi="宋体"/>
                      <w:b/>
                      <w:spacing w:val="-1"/>
                      <w:sz w:val="21"/>
                      <w:szCs w:val="21"/>
                    </w:rPr>
                    <w:t>项</w:t>
                  </w:r>
                  <w:r>
                    <w:rPr>
                      <w:rFonts w:hint="eastAsia" w:ascii="宋体" w:hAnsi="宋体"/>
                      <w:b/>
                      <w:sz w:val="21"/>
                      <w:szCs w:val="21"/>
                    </w:rPr>
                    <w:t>目</w:t>
                  </w:r>
                </w:p>
              </w:tc>
              <w:tc>
                <w:tcPr>
                  <w:tcW w:w="771" w:type="dxa"/>
                  <w:vAlign w:val="center"/>
                </w:tcPr>
                <w:p>
                  <w:pPr>
                    <w:pStyle w:val="52"/>
                    <w:kinsoku w:val="0"/>
                    <w:overflowPunct w:val="0"/>
                    <w:jc w:val="center"/>
                    <w:rPr>
                      <w:b/>
                      <w:sz w:val="21"/>
                      <w:szCs w:val="21"/>
                    </w:rPr>
                  </w:pPr>
                  <w:r>
                    <w:rPr>
                      <w:rFonts w:hint="eastAsia" w:ascii="宋体" w:hAnsi="宋体"/>
                      <w:b/>
                      <w:spacing w:val="-1"/>
                      <w:sz w:val="21"/>
                      <w:szCs w:val="21"/>
                    </w:rPr>
                    <w:t>序</w:t>
                  </w:r>
                  <w:r>
                    <w:rPr>
                      <w:rFonts w:hint="eastAsia" w:ascii="宋体" w:hAnsi="宋体"/>
                      <w:b/>
                      <w:sz w:val="21"/>
                      <w:szCs w:val="21"/>
                    </w:rPr>
                    <w:t>号</w:t>
                  </w:r>
                </w:p>
              </w:tc>
              <w:tc>
                <w:tcPr>
                  <w:tcW w:w="2126" w:type="dxa"/>
                  <w:vAlign w:val="center"/>
                </w:tcPr>
                <w:p>
                  <w:pPr>
                    <w:pStyle w:val="52"/>
                    <w:kinsoku w:val="0"/>
                    <w:overflowPunct w:val="0"/>
                    <w:jc w:val="center"/>
                    <w:rPr>
                      <w:b/>
                      <w:sz w:val="21"/>
                      <w:szCs w:val="21"/>
                    </w:rPr>
                  </w:pPr>
                  <w:r>
                    <w:rPr>
                      <w:rFonts w:hint="eastAsia" w:ascii="宋体" w:hAnsi="宋体"/>
                      <w:b/>
                      <w:spacing w:val="-1"/>
                      <w:sz w:val="21"/>
                      <w:szCs w:val="21"/>
                    </w:rPr>
                    <w:t>名</w:t>
                  </w:r>
                  <w:r>
                    <w:rPr>
                      <w:rFonts w:hint="eastAsia" w:ascii="宋体" w:hAnsi="宋体"/>
                      <w:b/>
                      <w:sz w:val="21"/>
                      <w:szCs w:val="21"/>
                    </w:rPr>
                    <w:t>称</w:t>
                  </w:r>
                </w:p>
              </w:tc>
              <w:tc>
                <w:tcPr>
                  <w:tcW w:w="992" w:type="dxa"/>
                  <w:vAlign w:val="center"/>
                </w:tcPr>
                <w:p>
                  <w:pPr>
                    <w:pStyle w:val="52"/>
                    <w:kinsoku w:val="0"/>
                    <w:overflowPunct w:val="0"/>
                    <w:jc w:val="center"/>
                    <w:rPr>
                      <w:b/>
                      <w:sz w:val="21"/>
                      <w:szCs w:val="21"/>
                    </w:rPr>
                  </w:pPr>
                  <w:r>
                    <w:rPr>
                      <w:rFonts w:hint="eastAsia" w:ascii="宋体" w:hAnsi="宋体"/>
                      <w:b/>
                      <w:spacing w:val="-1"/>
                      <w:sz w:val="21"/>
                      <w:szCs w:val="21"/>
                    </w:rPr>
                    <w:t>总</w:t>
                  </w:r>
                  <w:r>
                    <w:rPr>
                      <w:rFonts w:hint="eastAsia" w:ascii="宋体" w:hAnsi="宋体"/>
                      <w:b/>
                      <w:sz w:val="21"/>
                      <w:szCs w:val="21"/>
                    </w:rPr>
                    <w:t>量</w:t>
                  </w:r>
                </w:p>
              </w:tc>
              <w:tc>
                <w:tcPr>
                  <w:tcW w:w="993" w:type="dxa"/>
                  <w:vAlign w:val="center"/>
                </w:tcPr>
                <w:p>
                  <w:pPr>
                    <w:pStyle w:val="52"/>
                    <w:kinsoku w:val="0"/>
                    <w:overflowPunct w:val="0"/>
                    <w:jc w:val="center"/>
                    <w:rPr>
                      <w:b/>
                      <w:sz w:val="21"/>
                      <w:szCs w:val="21"/>
                    </w:rPr>
                  </w:pPr>
                  <w:r>
                    <w:rPr>
                      <w:rFonts w:hint="eastAsia"/>
                      <w:b/>
                      <w:sz w:val="21"/>
                      <w:szCs w:val="21"/>
                    </w:rPr>
                    <w:t>项目</w:t>
                  </w:r>
                </w:p>
              </w:tc>
              <w:tc>
                <w:tcPr>
                  <w:tcW w:w="2268" w:type="dxa"/>
                  <w:vAlign w:val="center"/>
                </w:tcPr>
                <w:p>
                  <w:pPr>
                    <w:pStyle w:val="52"/>
                    <w:kinsoku w:val="0"/>
                    <w:overflowPunct w:val="0"/>
                    <w:jc w:val="center"/>
                    <w:rPr>
                      <w:b/>
                      <w:sz w:val="21"/>
                      <w:szCs w:val="21"/>
                    </w:rPr>
                  </w:pPr>
                  <w:r>
                    <w:rPr>
                      <w:rFonts w:hint="eastAsia" w:ascii="宋体" w:hAnsi="宋体"/>
                      <w:b/>
                      <w:spacing w:val="-1"/>
                      <w:sz w:val="21"/>
                      <w:szCs w:val="21"/>
                    </w:rPr>
                    <w:t>名</w:t>
                  </w:r>
                  <w:r>
                    <w:rPr>
                      <w:rFonts w:hint="eastAsia" w:ascii="宋体" w:hAnsi="宋体"/>
                      <w:b/>
                      <w:sz w:val="21"/>
                      <w:szCs w:val="21"/>
                    </w:rPr>
                    <w:t>称</w:t>
                  </w:r>
                </w:p>
              </w:tc>
              <w:tc>
                <w:tcPr>
                  <w:tcW w:w="1306" w:type="dxa"/>
                  <w:vAlign w:val="center"/>
                </w:tcPr>
                <w:p>
                  <w:pPr>
                    <w:pStyle w:val="52"/>
                    <w:kinsoku w:val="0"/>
                    <w:overflowPunct w:val="0"/>
                    <w:jc w:val="center"/>
                    <w:rPr>
                      <w:b/>
                      <w:sz w:val="21"/>
                      <w:szCs w:val="21"/>
                    </w:rPr>
                  </w:pPr>
                  <w:r>
                    <w:rPr>
                      <w:rFonts w:hint="eastAsia" w:ascii="宋体" w:hAnsi="宋体"/>
                      <w:b/>
                      <w:spacing w:val="-1"/>
                      <w:sz w:val="21"/>
                      <w:szCs w:val="21"/>
                    </w:rPr>
                    <w:t>总</w:t>
                  </w:r>
                  <w:r>
                    <w:rPr>
                      <w:rFonts w:hint="eastAsia" w:ascii="宋体" w:hAnsi="宋体"/>
                      <w:b/>
                      <w:sz w:val="21"/>
                      <w:szCs w:val="21"/>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restart"/>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投入</w:t>
                  </w:r>
                </w:p>
              </w:tc>
              <w:tc>
                <w:tcPr>
                  <w:tcW w:w="771"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2126"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荒料</w:t>
                  </w:r>
                  <w:r>
                    <w:rPr>
                      <w:rFonts w:hint="eastAsia"/>
                    </w:rPr>
                    <w:t>（毛坯石料）</w:t>
                  </w:r>
                </w:p>
              </w:tc>
              <w:tc>
                <w:tcPr>
                  <w:tcW w:w="992"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27000</w:t>
                  </w:r>
                </w:p>
              </w:tc>
              <w:tc>
                <w:tcPr>
                  <w:tcW w:w="993" w:type="dxa"/>
                  <w:vMerge w:val="restart"/>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产出</w:t>
                  </w:r>
                </w:p>
              </w:tc>
              <w:tc>
                <w:tcPr>
                  <w:tcW w:w="2268"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成品砂石（干基）</w:t>
                  </w:r>
                </w:p>
              </w:tc>
              <w:tc>
                <w:tcPr>
                  <w:tcW w:w="1306"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widowControl/>
                    <w:jc w:val="center"/>
                    <w:rPr>
                      <w:rFonts w:ascii="Times New Roman" w:hAnsi="Times New Roman" w:cs="Times New Roman"/>
                      <w:kern w:val="0"/>
                      <w:szCs w:val="21"/>
                    </w:rPr>
                  </w:pPr>
                </w:p>
              </w:tc>
              <w:tc>
                <w:tcPr>
                  <w:tcW w:w="771"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2126"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外购废石料</w:t>
                  </w:r>
                </w:p>
              </w:tc>
              <w:tc>
                <w:tcPr>
                  <w:tcW w:w="992"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392350</w:t>
                  </w:r>
                </w:p>
              </w:tc>
              <w:tc>
                <w:tcPr>
                  <w:tcW w:w="993" w:type="dxa"/>
                  <w:vMerge w:val="continue"/>
                  <w:vAlign w:val="center"/>
                </w:tcPr>
                <w:p>
                  <w:pPr>
                    <w:widowControl/>
                    <w:jc w:val="center"/>
                    <w:rPr>
                      <w:rFonts w:ascii="Times New Roman" w:hAnsi="Times New Roman" w:cs="Times New Roman"/>
                      <w:kern w:val="0"/>
                      <w:szCs w:val="21"/>
                    </w:rPr>
                  </w:pPr>
                </w:p>
              </w:tc>
              <w:tc>
                <w:tcPr>
                  <w:tcW w:w="2268" w:type="dxa"/>
                  <w:vAlign w:val="center"/>
                </w:tcPr>
                <w:p>
                  <w:pPr>
                    <w:pStyle w:val="52"/>
                    <w:tabs>
                      <w:tab w:val="left" w:pos="350"/>
                    </w:tabs>
                    <w:kinsoku w:val="0"/>
                    <w:overflowPunct w:val="0"/>
                    <w:jc w:val="center"/>
                    <w:rPr>
                      <w:sz w:val="21"/>
                      <w:szCs w:val="21"/>
                    </w:rPr>
                  </w:pPr>
                  <w:r>
                    <w:rPr>
                      <w:rFonts w:hint="eastAsia"/>
                      <w:sz w:val="21"/>
                      <w:szCs w:val="21"/>
                    </w:rPr>
                    <w:t>石板成品</w:t>
                  </w:r>
                </w:p>
              </w:tc>
              <w:tc>
                <w:tcPr>
                  <w:tcW w:w="1306" w:type="dxa"/>
                  <w:vAlign w:val="center"/>
                </w:tcPr>
                <w:p>
                  <w:pPr>
                    <w:pStyle w:val="52"/>
                    <w:tabs>
                      <w:tab w:val="left" w:pos="350"/>
                    </w:tabs>
                    <w:kinsoku w:val="0"/>
                    <w:overflowPunct w:val="0"/>
                    <w:jc w:val="center"/>
                    <w:rPr>
                      <w:sz w:val="21"/>
                      <w:szCs w:val="21"/>
                    </w:rPr>
                  </w:pPr>
                  <w:r>
                    <w:rPr>
                      <w:rFonts w:hint="eastAsia"/>
                      <w:sz w:val="21"/>
                      <w:szCs w:val="21"/>
                    </w:rPr>
                    <w:t>18900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widowControl/>
                    <w:jc w:val="center"/>
                    <w:rPr>
                      <w:rFonts w:ascii="Times New Roman" w:hAnsi="Times New Roman" w:cs="Times New Roman"/>
                      <w:kern w:val="0"/>
                      <w:szCs w:val="21"/>
                    </w:rPr>
                  </w:pPr>
                </w:p>
              </w:tc>
              <w:tc>
                <w:tcPr>
                  <w:tcW w:w="2897" w:type="dxa"/>
                  <w:gridSpan w:val="2"/>
                  <w:vAlign w:val="center"/>
                </w:tcPr>
                <w:p>
                  <w:pPr>
                    <w:pStyle w:val="52"/>
                    <w:kinsoku w:val="0"/>
                    <w:overflowPunct w:val="0"/>
                    <w:jc w:val="center"/>
                    <w:rPr>
                      <w:sz w:val="21"/>
                      <w:szCs w:val="21"/>
                    </w:rPr>
                  </w:pPr>
                  <w:r>
                    <w:rPr>
                      <w:rFonts w:hint="eastAsia"/>
                      <w:b/>
                      <w:sz w:val="21"/>
                      <w:szCs w:val="21"/>
                    </w:rPr>
                    <w:t>总计</w:t>
                  </w:r>
                </w:p>
              </w:tc>
              <w:tc>
                <w:tcPr>
                  <w:tcW w:w="992" w:type="dxa"/>
                  <w:vAlign w:val="center"/>
                </w:tcPr>
                <w:p>
                  <w:pPr>
                    <w:pStyle w:val="52"/>
                    <w:kinsoku w:val="0"/>
                    <w:overflowPunct w:val="0"/>
                    <w:jc w:val="center"/>
                    <w:rPr>
                      <w:b/>
                      <w:bCs/>
                      <w:sz w:val="21"/>
                      <w:szCs w:val="21"/>
                    </w:rPr>
                  </w:pPr>
                  <w:r>
                    <w:rPr>
                      <w:b/>
                      <w:bCs/>
                      <w:sz w:val="21"/>
                      <w:szCs w:val="21"/>
                    </w:rPr>
                    <w:fldChar w:fldCharType="begin"/>
                  </w:r>
                  <w:r>
                    <w:rPr>
                      <w:b/>
                      <w:bCs/>
                      <w:sz w:val="21"/>
                      <w:szCs w:val="21"/>
                    </w:rPr>
                    <w:instrText xml:space="preserve"> =SUM(ABOVE) </w:instrText>
                  </w:r>
                  <w:r>
                    <w:rPr>
                      <w:b/>
                      <w:bCs/>
                      <w:sz w:val="21"/>
                      <w:szCs w:val="21"/>
                    </w:rPr>
                    <w:fldChar w:fldCharType="separate"/>
                  </w:r>
                  <w:r>
                    <w:rPr>
                      <w:b/>
                      <w:bCs/>
                      <w:sz w:val="21"/>
                      <w:szCs w:val="21"/>
                    </w:rPr>
                    <w:t>419350</w:t>
                  </w:r>
                  <w:r>
                    <w:rPr>
                      <w:b/>
                      <w:bCs/>
                      <w:sz w:val="21"/>
                      <w:szCs w:val="21"/>
                    </w:rPr>
                    <w:fldChar w:fldCharType="end"/>
                  </w:r>
                </w:p>
              </w:tc>
              <w:tc>
                <w:tcPr>
                  <w:tcW w:w="993" w:type="dxa"/>
                  <w:vMerge w:val="continue"/>
                  <w:vAlign w:val="center"/>
                </w:tcPr>
                <w:p>
                  <w:pPr>
                    <w:widowControl/>
                    <w:jc w:val="center"/>
                    <w:rPr>
                      <w:rFonts w:ascii="Times New Roman" w:hAnsi="Times New Roman" w:cs="Times New Roman"/>
                      <w:kern w:val="0"/>
                      <w:szCs w:val="21"/>
                    </w:rPr>
                  </w:pPr>
                </w:p>
              </w:tc>
              <w:tc>
                <w:tcPr>
                  <w:tcW w:w="2268"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沉渣（石粉）</w:t>
                  </w:r>
                </w:p>
              </w:tc>
              <w:tc>
                <w:tcPr>
                  <w:tcW w:w="1306"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widowControl/>
                    <w:jc w:val="center"/>
                    <w:rPr>
                      <w:rFonts w:ascii="Times New Roman" w:hAnsi="Times New Roman" w:cs="Times New Roman"/>
                      <w:kern w:val="0"/>
                      <w:szCs w:val="21"/>
                    </w:rPr>
                  </w:pPr>
                </w:p>
              </w:tc>
              <w:tc>
                <w:tcPr>
                  <w:tcW w:w="771" w:type="dxa"/>
                  <w:vAlign w:val="center"/>
                </w:tcPr>
                <w:p>
                  <w:pPr>
                    <w:pStyle w:val="52"/>
                    <w:kinsoku w:val="0"/>
                    <w:overflowPunct w:val="0"/>
                    <w:jc w:val="center"/>
                    <w:rPr>
                      <w:sz w:val="21"/>
                      <w:szCs w:val="21"/>
                    </w:rPr>
                  </w:pPr>
                  <w:r>
                    <w:rPr>
                      <w:rFonts w:hint="eastAsia"/>
                      <w:sz w:val="21"/>
                      <w:szCs w:val="21"/>
                    </w:rPr>
                    <w:t>/</w:t>
                  </w:r>
                </w:p>
              </w:tc>
              <w:tc>
                <w:tcPr>
                  <w:tcW w:w="2126"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992" w:type="dxa"/>
                  <w:vAlign w:val="center"/>
                </w:tcPr>
                <w:p>
                  <w:pPr>
                    <w:pStyle w:val="52"/>
                    <w:kinsoku w:val="0"/>
                    <w:overflowPunct w:val="0"/>
                    <w:jc w:val="center"/>
                    <w:rPr>
                      <w:sz w:val="21"/>
                      <w:szCs w:val="21"/>
                    </w:rPr>
                  </w:pPr>
                  <w:r>
                    <w:rPr>
                      <w:rFonts w:hint="eastAsia"/>
                      <w:sz w:val="21"/>
                      <w:szCs w:val="21"/>
                    </w:rPr>
                    <w:t>/</w:t>
                  </w:r>
                </w:p>
              </w:tc>
              <w:tc>
                <w:tcPr>
                  <w:tcW w:w="993" w:type="dxa"/>
                  <w:vMerge w:val="continue"/>
                  <w:vAlign w:val="center"/>
                </w:tcPr>
                <w:p>
                  <w:pPr>
                    <w:widowControl/>
                    <w:jc w:val="center"/>
                    <w:rPr>
                      <w:rFonts w:ascii="Times New Roman" w:hAnsi="Times New Roman" w:cs="Times New Roman"/>
                      <w:kern w:val="0"/>
                      <w:szCs w:val="21"/>
                    </w:rPr>
                  </w:pPr>
                </w:p>
              </w:tc>
              <w:tc>
                <w:tcPr>
                  <w:tcW w:w="2268" w:type="dxa"/>
                  <w:vAlign w:val="center"/>
                </w:tcPr>
                <w:p>
                  <w:pPr>
                    <w:pStyle w:val="52"/>
                    <w:tabs>
                      <w:tab w:val="left" w:pos="350"/>
                    </w:tabs>
                    <w:kinsoku w:val="0"/>
                    <w:overflowPunct w:val="0"/>
                    <w:jc w:val="center"/>
                    <w:rPr>
                      <w:sz w:val="21"/>
                      <w:szCs w:val="21"/>
                    </w:rPr>
                  </w:pPr>
                  <w:r>
                    <w:rPr>
                      <w:rFonts w:hint="eastAsia"/>
                      <w:sz w:val="21"/>
                      <w:szCs w:val="21"/>
                    </w:rPr>
                    <w:t>粉尘</w:t>
                  </w:r>
                  <w:r>
                    <w:rPr>
                      <w:rFonts w:hint="eastAsia"/>
                      <w:szCs w:val="21"/>
                    </w:rPr>
                    <w:t>（石粉）</w:t>
                  </w:r>
                </w:p>
              </w:tc>
              <w:tc>
                <w:tcPr>
                  <w:tcW w:w="1306" w:type="dxa"/>
                  <w:vAlign w:val="center"/>
                </w:tcPr>
                <w:p>
                  <w:pPr>
                    <w:pStyle w:val="52"/>
                    <w:tabs>
                      <w:tab w:val="left" w:pos="350"/>
                    </w:tabs>
                    <w:kinsoku w:val="0"/>
                    <w:overflowPunct w:val="0"/>
                    <w:jc w:val="center"/>
                    <w:rPr>
                      <w:sz w:val="21"/>
                      <w:szCs w:val="21"/>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9" w:type="dxa"/>
                  <w:vMerge w:val="continue"/>
                  <w:vAlign w:val="center"/>
                </w:tcPr>
                <w:p>
                  <w:pPr>
                    <w:pStyle w:val="52"/>
                    <w:kinsoku w:val="0"/>
                    <w:overflowPunct w:val="0"/>
                    <w:jc w:val="center"/>
                    <w:rPr>
                      <w:sz w:val="21"/>
                      <w:szCs w:val="21"/>
                    </w:rPr>
                  </w:pPr>
                </w:p>
              </w:tc>
              <w:tc>
                <w:tcPr>
                  <w:tcW w:w="771" w:type="dxa"/>
                  <w:vAlign w:val="center"/>
                </w:tcPr>
                <w:p>
                  <w:pPr>
                    <w:pStyle w:val="52"/>
                    <w:kinsoku w:val="0"/>
                    <w:overflowPunct w:val="0"/>
                    <w:jc w:val="center"/>
                    <w:rPr>
                      <w:sz w:val="21"/>
                      <w:szCs w:val="21"/>
                    </w:rPr>
                  </w:pPr>
                  <w:r>
                    <w:rPr>
                      <w:rFonts w:hint="eastAsia"/>
                      <w:sz w:val="21"/>
                      <w:szCs w:val="21"/>
                    </w:rPr>
                    <w:t>/</w:t>
                  </w:r>
                </w:p>
              </w:tc>
              <w:tc>
                <w:tcPr>
                  <w:tcW w:w="2126" w:type="dxa"/>
                  <w:vAlign w:val="center"/>
                </w:tcPr>
                <w:p>
                  <w:pPr>
                    <w:pStyle w:val="52"/>
                    <w:kinsoku w:val="0"/>
                    <w:overflowPunct w:val="0"/>
                    <w:jc w:val="center"/>
                    <w:rPr>
                      <w:sz w:val="21"/>
                      <w:szCs w:val="21"/>
                    </w:rPr>
                  </w:pPr>
                  <w:r>
                    <w:rPr>
                      <w:rFonts w:hint="eastAsia"/>
                      <w:sz w:val="21"/>
                      <w:szCs w:val="21"/>
                    </w:rPr>
                    <w:t>/</w:t>
                  </w:r>
                </w:p>
              </w:tc>
              <w:tc>
                <w:tcPr>
                  <w:tcW w:w="992" w:type="dxa"/>
                  <w:vAlign w:val="center"/>
                </w:tcPr>
                <w:p>
                  <w:pPr>
                    <w:pStyle w:val="52"/>
                    <w:kinsoku w:val="0"/>
                    <w:overflowPunct w:val="0"/>
                    <w:jc w:val="center"/>
                    <w:rPr>
                      <w:b/>
                      <w:bCs/>
                      <w:sz w:val="21"/>
                      <w:szCs w:val="21"/>
                    </w:rPr>
                  </w:pPr>
                  <w:r>
                    <w:rPr>
                      <w:rFonts w:hint="eastAsia"/>
                      <w:b/>
                      <w:bCs/>
                      <w:sz w:val="21"/>
                      <w:szCs w:val="21"/>
                    </w:rPr>
                    <w:t>/</w:t>
                  </w:r>
                </w:p>
              </w:tc>
              <w:tc>
                <w:tcPr>
                  <w:tcW w:w="993" w:type="dxa"/>
                  <w:vMerge w:val="continue"/>
                  <w:vAlign w:val="center"/>
                </w:tcPr>
                <w:p>
                  <w:pPr>
                    <w:pStyle w:val="52"/>
                    <w:kinsoku w:val="0"/>
                    <w:overflowPunct w:val="0"/>
                    <w:jc w:val="center"/>
                    <w:rPr>
                      <w:sz w:val="21"/>
                      <w:szCs w:val="21"/>
                    </w:rPr>
                  </w:pPr>
                </w:p>
              </w:tc>
              <w:tc>
                <w:tcPr>
                  <w:tcW w:w="2268" w:type="dxa"/>
                  <w:vAlign w:val="center"/>
                </w:tcPr>
                <w:p>
                  <w:pPr>
                    <w:pStyle w:val="52"/>
                    <w:kinsoku w:val="0"/>
                    <w:overflowPunct w:val="0"/>
                    <w:jc w:val="center"/>
                    <w:rPr>
                      <w:b/>
                      <w:bCs/>
                      <w:sz w:val="21"/>
                      <w:szCs w:val="21"/>
                    </w:rPr>
                  </w:pPr>
                  <w:r>
                    <w:rPr>
                      <w:rFonts w:hint="eastAsia"/>
                      <w:b/>
                      <w:bCs/>
                      <w:sz w:val="21"/>
                      <w:szCs w:val="21"/>
                    </w:rPr>
                    <w:t>总计</w:t>
                  </w:r>
                </w:p>
              </w:tc>
              <w:tc>
                <w:tcPr>
                  <w:tcW w:w="1306" w:type="dxa"/>
                  <w:vAlign w:val="center"/>
                </w:tcPr>
                <w:p>
                  <w:pPr>
                    <w:pStyle w:val="52"/>
                    <w:kinsoku w:val="0"/>
                    <w:overflowPunct w:val="0"/>
                    <w:jc w:val="center"/>
                    <w:rPr>
                      <w:b/>
                      <w:bCs/>
                      <w:sz w:val="21"/>
                      <w:szCs w:val="21"/>
                    </w:rPr>
                  </w:pPr>
                  <w:r>
                    <w:rPr>
                      <w:b/>
                      <w:bCs/>
                      <w:sz w:val="21"/>
                      <w:szCs w:val="21"/>
                    </w:rPr>
                    <w:fldChar w:fldCharType="begin"/>
                  </w:r>
                  <w:r>
                    <w:rPr>
                      <w:b/>
                      <w:bCs/>
                      <w:sz w:val="21"/>
                      <w:szCs w:val="21"/>
                    </w:rPr>
                    <w:instrText xml:space="preserve"> </w:instrText>
                  </w:r>
                  <w:r>
                    <w:rPr>
                      <w:rFonts w:hint="eastAsia"/>
                      <w:b/>
                      <w:bCs/>
                      <w:sz w:val="21"/>
                      <w:szCs w:val="21"/>
                    </w:rPr>
                    <w:instrText xml:space="preserve">=SUM(ABOVE)</w:instrText>
                  </w:r>
                  <w:r>
                    <w:rPr>
                      <w:b/>
                      <w:bCs/>
                      <w:sz w:val="21"/>
                      <w:szCs w:val="21"/>
                    </w:rPr>
                    <w:instrText xml:space="preserve"> </w:instrText>
                  </w:r>
                  <w:r>
                    <w:rPr>
                      <w:b/>
                      <w:bCs/>
                      <w:sz w:val="21"/>
                      <w:szCs w:val="21"/>
                    </w:rPr>
                    <w:fldChar w:fldCharType="separate"/>
                  </w:r>
                  <w:r>
                    <w:rPr>
                      <w:b/>
                      <w:bCs/>
                      <w:sz w:val="21"/>
                      <w:szCs w:val="21"/>
                    </w:rPr>
                    <w:t>419350</w:t>
                  </w:r>
                  <w:r>
                    <w:rPr>
                      <w:b/>
                      <w:bCs/>
                      <w:sz w:val="21"/>
                      <w:szCs w:val="21"/>
                    </w:rPr>
                    <w:fldChar w:fldCharType="end"/>
                  </w:r>
                </w:p>
              </w:tc>
            </w:tr>
          </w:tbl>
          <w:p>
            <w:pPr>
              <w:pStyle w:val="31"/>
              <w:ind w:firstLine="0" w:firstLineChars="0"/>
              <w:jc w:val="center"/>
              <w:rPr>
                <w:rFonts w:cs="Times New Roman"/>
                <w:b/>
                <w:color w:val="auto"/>
                <w:sz w:val="21"/>
                <w:lang w:val="zh-CN"/>
              </w:rPr>
            </w:pPr>
          </w:p>
          <w:p>
            <w:pPr>
              <w:pStyle w:val="31"/>
              <w:ind w:firstLine="0" w:firstLineChars="0"/>
              <w:jc w:val="center"/>
              <w:rPr>
                <w:rFonts w:cs="Times New Roman"/>
                <w:b/>
                <w:color w:val="auto"/>
                <w:sz w:val="21"/>
                <w:lang w:val="zh-CN"/>
              </w:rPr>
            </w:pPr>
            <w:r>
              <w:rPr>
                <w:rFonts w:cs="Times New Roman"/>
                <w:b/>
                <w:color w:val="auto"/>
                <w:sz w:val="21"/>
                <w:lang w:val="zh-CN"/>
              </w:rPr>
              <w:object>
                <v:shape id="_x0000_i1035" o:spt="75" type="#_x0000_t75" style="height:225.3pt;width:384pt;" o:ole="t" filled="f" o:preferrelative="t" stroked="f" coordsize="21600,21600">
                  <v:path/>
                  <v:fill on="f" focussize="0,0"/>
                  <v:stroke on="f" joinstyle="miter"/>
                  <v:imagedata r:id="rId29" o:title=""/>
                  <o:lock v:ext="edit" aspectratio="t"/>
                  <w10:wrap type="none"/>
                  <w10:anchorlock/>
                </v:shape>
                <o:OLEObject Type="Embed" ProgID="Visio.Drawing.11" ShapeID="_x0000_i1035" DrawAspect="Content" ObjectID="_1468075735" r:id="rId28">
                  <o:LockedField>false</o:LockedField>
                </o:OLEObject>
              </w:object>
            </w:r>
          </w:p>
          <w:p>
            <w:pPr>
              <w:pStyle w:val="31"/>
              <w:ind w:firstLine="0" w:firstLineChars="0"/>
              <w:jc w:val="center"/>
              <w:rPr>
                <w:rFonts w:cs="Times New Roman"/>
                <w:b/>
                <w:color w:val="auto"/>
                <w:sz w:val="21"/>
                <w:lang w:val="zh-CN"/>
              </w:rPr>
            </w:pPr>
            <w:r>
              <w:rPr>
                <w:rFonts w:hint="eastAsia" w:cs="Times New Roman"/>
                <w:b/>
                <w:color w:val="auto"/>
                <w:sz w:val="21"/>
                <w:lang w:val="zh-CN"/>
              </w:rPr>
              <w:t>图5</w:t>
            </w:r>
            <w:r>
              <w:rPr>
                <w:rFonts w:hint="eastAsia" w:cs="Times New Roman"/>
                <w:b/>
                <w:color w:val="auto"/>
                <w:sz w:val="21"/>
              </w:rPr>
              <w:t>-5</w:t>
            </w:r>
            <w:r>
              <w:rPr>
                <w:rFonts w:hint="eastAsia" w:cs="Times New Roman"/>
                <w:b/>
                <w:color w:val="auto"/>
                <w:sz w:val="21"/>
                <w:lang w:val="zh-CN"/>
              </w:rPr>
              <w:t xml:space="preserve"> </w:t>
            </w:r>
            <w:r>
              <w:rPr>
                <w:rFonts w:cs="Times New Roman"/>
                <w:b/>
                <w:color w:val="auto"/>
                <w:sz w:val="21"/>
                <w:lang w:val="zh-CN"/>
              </w:rPr>
              <w:t xml:space="preserve">  项目</w:t>
            </w:r>
            <w:r>
              <w:rPr>
                <w:rFonts w:hint="eastAsia" w:cs="Times New Roman"/>
                <w:b/>
                <w:color w:val="auto"/>
                <w:sz w:val="21"/>
                <w:lang w:val="zh-CN"/>
              </w:rPr>
              <w:t>物料平衡图（</w:t>
            </w:r>
            <w:r>
              <w:rPr>
                <w:rFonts w:hint="eastAsia" w:cs="Times New Roman"/>
                <w:b/>
                <w:color w:val="auto"/>
                <w:sz w:val="21"/>
              </w:rPr>
              <w:t>t/a</w:t>
            </w:r>
            <w:r>
              <w:rPr>
                <w:rFonts w:hint="eastAsia" w:cs="Times New Roman"/>
                <w:b/>
                <w:color w:val="auto"/>
                <w:sz w:val="21"/>
                <w:lang w:val="zh-CN"/>
              </w:rPr>
              <w:t>）</w:t>
            </w:r>
          </w:p>
          <w:bookmarkEnd w:id="55"/>
          <w:bookmarkEnd w:id="56"/>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5.2.2.2营运期大气污染源分析</w:t>
            </w:r>
          </w:p>
          <w:p>
            <w:pPr>
              <w:pStyle w:val="31"/>
              <w:rPr>
                <w:color w:val="auto"/>
              </w:rPr>
            </w:pPr>
            <w:r>
              <w:rPr>
                <w:rFonts w:hint="eastAsia"/>
                <w:color w:val="auto"/>
              </w:rPr>
              <w:t>本项目项目营运期废气主要有石材切割和抛磨粉尘、砂石投料粉尘、砂石破碎和筛分粉尘，砂石堆场扬尘、运输扬尘和汽车尾气。根据《邵阳市污染防治攻坚战三年行动计划（2018-2020年）》（邵市政发〔2018〕17号）、《邵阳市蓝天保卫战专项行动（2018-2020年）实施方案》等文件要求，建设单位应做好大气污染防治工作。</w:t>
            </w:r>
          </w:p>
          <w:p>
            <w:pPr>
              <w:pStyle w:val="31"/>
              <w:ind w:firstLine="482"/>
              <w:rPr>
                <w:b/>
                <w:color w:val="auto"/>
              </w:rPr>
            </w:pPr>
            <w:r>
              <w:rPr>
                <w:rFonts w:hint="eastAsia"/>
                <w:b/>
                <w:color w:val="auto"/>
              </w:rPr>
              <w:t>（1）石材加工粉尘</w:t>
            </w:r>
          </w:p>
          <w:p>
            <w:pPr>
              <w:pStyle w:val="31"/>
              <w:rPr>
                <w:color w:val="auto"/>
              </w:rPr>
            </w:pPr>
            <w:r>
              <w:rPr>
                <w:rFonts w:hint="eastAsia"/>
                <w:color w:val="auto"/>
              </w:rPr>
              <w:t>本项目石材切割、抛磨等作业过程中会产生一定量的粉尘。参照《三废处理工程技术手册-废气卷》、《工业污染核算》（2007年，中国环境科学出版社）、《逸散性工业粉尘控制技术》（中国环境科学出版社，1989.12，J.A.奥里蒙、G.A.久兹等编著张良壁等编译）等资料，石材切割、抛磨时的产尘系数约为0.05kg/t物料。本项目石材切割、抛磨等加工工序均为湿法作业，物料含水率高，粉尘产生量少，本环评按上述系数的10%计算（即产尘系数取0.005 kg/t物料）。本项目荒料（毛坯石料）年用量为10000m</w:t>
            </w:r>
            <w:r>
              <w:rPr>
                <w:rFonts w:hint="eastAsia"/>
                <w:color w:val="auto"/>
                <w:vertAlign w:val="superscript"/>
              </w:rPr>
              <w:t>3</w:t>
            </w:r>
            <w:r>
              <w:rPr>
                <w:rFonts w:hint="eastAsia"/>
                <w:color w:val="auto"/>
              </w:rPr>
              <w:t>/a（约27000t/a），则石材加工粉尘产生量为0.135t/a（0.056kg/h）。通过提高石材湿度、设置围挡等措施，石材加工粉尘预计可进一步降低50%，排放量为0.068t/a（0.028kg/h）。</w:t>
            </w:r>
          </w:p>
          <w:p>
            <w:pPr>
              <w:pStyle w:val="31"/>
              <w:ind w:firstLine="482"/>
              <w:rPr>
                <w:b/>
                <w:color w:val="auto"/>
              </w:rPr>
            </w:pPr>
            <w:r>
              <w:rPr>
                <w:rFonts w:hint="eastAsia"/>
                <w:b/>
                <w:color w:val="auto"/>
              </w:rPr>
              <w:t>（2）砂石投料粉尘</w:t>
            </w:r>
          </w:p>
          <w:p>
            <w:pPr>
              <w:pStyle w:val="31"/>
              <w:rPr>
                <w:b/>
                <w:color w:val="auto"/>
              </w:rPr>
            </w:pPr>
            <w:r>
              <w:rPr>
                <w:rFonts w:hint="eastAsia"/>
                <w:color w:val="auto"/>
              </w:rPr>
              <w:t>本项目原料在投料时会产生一定量的粉尘。参照《三废处理工程技术手册-废气卷》、《工业污染核算》（2007年，中国环境科学出版社）、《逸散性工业粉尘控制技术》（中国环境科学出版社，1989.12，J.A.奥里蒙、G.A.久兹等编著张良壁等编译）等资料，投料时的产尘系数按0.001kg/t物料计，本项目砂石原材料用量约为40万吨/年，则投料粉尘产生量为0.40t/a（0.167kg/h）。通过在投料口设置雾化喷头、设置围挡等措施，投料粉尘可降低70%，排放量为0.120t/a（0.050kg/h）。</w:t>
            </w:r>
          </w:p>
          <w:p>
            <w:pPr>
              <w:pStyle w:val="31"/>
              <w:ind w:firstLine="482"/>
              <w:rPr>
                <w:b/>
                <w:color w:val="auto"/>
              </w:rPr>
            </w:pPr>
            <w:r>
              <w:rPr>
                <w:rFonts w:hint="eastAsia"/>
                <w:b/>
                <w:color w:val="auto"/>
              </w:rPr>
              <w:t>（3）砂石破碎和筛分粉尘</w:t>
            </w:r>
          </w:p>
          <w:p>
            <w:pPr>
              <w:pStyle w:val="31"/>
              <w:rPr>
                <w:color w:val="auto"/>
              </w:rPr>
            </w:pPr>
            <w:r>
              <w:rPr>
                <w:rFonts w:hint="eastAsia"/>
                <w:color w:val="auto"/>
              </w:rPr>
              <w:t>本项目废石料在破碎和筛分时均会产生粉尘。参照《三废处理工程技术手册-废气卷》、《工业污染核算》（2007年，中国环境科学出版社）、《工业污染源系数手册》（2019年初稿）等资料，项目破碎和筛分工序产尘系数如</w:t>
            </w:r>
            <w:r>
              <w:rPr>
                <w:color w:val="auto"/>
              </w:rPr>
              <w:fldChar w:fldCharType="begin"/>
            </w:r>
            <w:r>
              <w:rPr>
                <w:color w:val="auto"/>
              </w:rPr>
              <w:instrText xml:space="preserve"> </w:instrText>
            </w:r>
            <w:r>
              <w:rPr>
                <w:rFonts w:hint="eastAsia"/>
                <w:color w:val="auto"/>
              </w:rPr>
              <w:instrText xml:space="preserve">REF _Ref494465414 \h</w:instrText>
            </w:r>
            <w:r>
              <w:rPr>
                <w:color w:val="auto"/>
              </w:rPr>
              <w:instrText xml:space="preserve">  \* MERGEFORMAT </w:instrText>
            </w:r>
            <w:r>
              <w:rPr>
                <w:color w:val="auto"/>
              </w:rPr>
              <w:fldChar w:fldCharType="separate"/>
            </w:r>
            <w:r>
              <w:rPr>
                <w:rFonts w:hint="eastAsia"/>
                <w:color w:val="auto"/>
              </w:rPr>
              <w:t>表5-</w:t>
            </w:r>
            <w:r>
              <w:rPr>
                <w:color w:val="auto"/>
              </w:rPr>
              <w:t>7</w:t>
            </w:r>
            <w:r>
              <w:rPr>
                <w:color w:val="auto"/>
              </w:rPr>
              <w:fldChar w:fldCharType="end"/>
            </w:r>
            <w:r>
              <w:rPr>
                <w:rFonts w:hint="eastAsia"/>
                <w:color w:val="auto"/>
              </w:rPr>
              <w:t>所示。</w:t>
            </w:r>
          </w:p>
          <w:p>
            <w:pPr>
              <w:spacing w:line="360" w:lineRule="auto"/>
              <w:ind w:firstLine="422" w:firstLineChars="200"/>
              <w:jc w:val="center"/>
              <w:rPr>
                <w:rFonts w:ascii="Times New Roman" w:hAnsi="Times New Roman" w:cs="Times New Roman"/>
                <w:b/>
                <w:bCs/>
              </w:rPr>
            </w:pPr>
            <w:bookmarkStart w:id="57" w:name="_Ref494465414"/>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7</w:t>
            </w:r>
            <w:r>
              <w:rPr>
                <w:rFonts w:ascii="Times New Roman" w:hAnsi="Times New Roman" w:cs="Times New Roman"/>
                <w:b/>
                <w:bCs/>
              </w:rPr>
              <w:fldChar w:fldCharType="end"/>
            </w:r>
            <w:bookmarkEnd w:id="57"/>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破碎和筛分粉尘源强核算一览表</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1275"/>
              <w:gridCol w:w="1134"/>
              <w:gridCol w:w="1063"/>
              <w:gridCol w:w="1064"/>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Merge w:val="restart"/>
                  <w:vAlign w:val="center"/>
                </w:tcPr>
                <w:p>
                  <w:pPr>
                    <w:jc w:val="center"/>
                    <w:rPr>
                      <w:rFonts w:ascii="Times New Roman" w:hAnsi="Times New Roman" w:cs="Times New Roman"/>
                      <w:b/>
                      <w:szCs w:val="21"/>
                    </w:rPr>
                  </w:pPr>
                  <w:r>
                    <w:rPr>
                      <w:rFonts w:hint="eastAsia" w:ascii="Times New Roman" w:hAnsi="Times New Roman" w:cs="Times New Roman"/>
                      <w:b/>
                      <w:szCs w:val="21"/>
                    </w:rPr>
                    <w:t>序号</w:t>
                  </w:r>
                </w:p>
              </w:tc>
              <w:tc>
                <w:tcPr>
                  <w:tcW w:w="1418" w:type="dxa"/>
                  <w:vMerge w:val="restart"/>
                  <w:vAlign w:val="center"/>
                </w:tcPr>
                <w:p>
                  <w:pPr>
                    <w:jc w:val="center"/>
                    <w:rPr>
                      <w:rFonts w:ascii="Times New Roman" w:hAnsi="Times New Roman" w:cs="Times New Roman"/>
                      <w:b/>
                      <w:szCs w:val="21"/>
                    </w:rPr>
                  </w:pPr>
                  <w:r>
                    <w:rPr>
                      <w:rFonts w:hint="eastAsia" w:ascii="Times New Roman" w:hAnsi="Times New Roman" w:cs="Times New Roman"/>
                      <w:b/>
                      <w:szCs w:val="21"/>
                    </w:rPr>
                    <w:t>生产工序</w:t>
                  </w:r>
                </w:p>
                <w:p>
                  <w:pPr>
                    <w:jc w:val="center"/>
                    <w:rPr>
                      <w:rFonts w:ascii="Times New Roman" w:hAnsi="Times New Roman" w:cs="Times New Roman"/>
                      <w:b/>
                      <w:szCs w:val="21"/>
                    </w:rPr>
                  </w:pPr>
                  <w:r>
                    <w:rPr>
                      <w:rFonts w:hint="eastAsia" w:ascii="Times New Roman" w:hAnsi="Times New Roman" w:cs="Times New Roman"/>
                      <w:b/>
                      <w:szCs w:val="21"/>
                    </w:rPr>
                    <w:t>（产尘点）</w:t>
                  </w:r>
                </w:p>
              </w:tc>
              <w:tc>
                <w:tcPr>
                  <w:tcW w:w="1275" w:type="dxa"/>
                  <w:vMerge w:val="restart"/>
                  <w:vAlign w:val="center"/>
                </w:tcPr>
                <w:p>
                  <w:pPr>
                    <w:jc w:val="center"/>
                    <w:rPr>
                      <w:rFonts w:ascii="Times New Roman" w:hAnsi="Times New Roman" w:cs="Times New Roman"/>
                      <w:b/>
                      <w:szCs w:val="21"/>
                    </w:rPr>
                  </w:pPr>
                  <w:r>
                    <w:rPr>
                      <w:rFonts w:hint="eastAsia" w:ascii="Times New Roman" w:hAnsi="Times New Roman" w:cs="Times New Roman"/>
                      <w:b/>
                      <w:szCs w:val="21"/>
                    </w:rPr>
                    <w:t>产尘系数(kg/t物料)</w:t>
                  </w:r>
                </w:p>
              </w:tc>
              <w:tc>
                <w:tcPr>
                  <w:tcW w:w="1134" w:type="dxa"/>
                  <w:vMerge w:val="restart"/>
                  <w:vAlign w:val="center"/>
                </w:tcPr>
                <w:p>
                  <w:pPr>
                    <w:jc w:val="center"/>
                    <w:rPr>
                      <w:rFonts w:ascii="Times New Roman" w:hAnsi="Times New Roman" w:cs="Times New Roman"/>
                      <w:b/>
                      <w:szCs w:val="21"/>
                    </w:rPr>
                  </w:pPr>
                  <w:r>
                    <w:rPr>
                      <w:rFonts w:hint="eastAsia" w:ascii="Times New Roman" w:hAnsi="Times New Roman" w:cs="Times New Roman"/>
                      <w:b/>
                      <w:szCs w:val="21"/>
                    </w:rPr>
                    <w:t>物料加工量（t/a）</w:t>
                  </w:r>
                </w:p>
              </w:tc>
              <w:tc>
                <w:tcPr>
                  <w:tcW w:w="2127" w:type="dxa"/>
                  <w:gridSpan w:val="2"/>
                  <w:vAlign w:val="center"/>
                </w:tcPr>
                <w:p>
                  <w:pPr>
                    <w:jc w:val="center"/>
                    <w:rPr>
                      <w:rFonts w:ascii="Times New Roman" w:hAnsi="Times New Roman" w:cs="Times New Roman"/>
                      <w:b/>
                      <w:szCs w:val="21"/>
                    </w:rPr>
                  </w:pPr>
                  <w:r>
                    <w:rPr>
                      <w:rFonts w:hint="eastAsia" w:ascii="Times New Roman" w:hAnsi="Times New Roman" w:cs="Times New Roman"/>
                      <w:b/>
                      <w:szCs w:val="21"/>
                    </w:rPr>
                    <w:t>产生情况</w:t>
                  </w:r>
                </w:p>
              </w:tc>
              <w:tc>
                <w:tcPr>
                  <w:tcW w:w="2409" w:type="dxa"/>
                  <w:vMerge w:val="restart"/>
                  <w:vAlign w:val="center"/>
                </w:tcPr>
                <w:p>
                  <w:pPr>
                    <w:jc w:val="center"/>
                    <w:rPr>
                      <w:rFonts w:ascii="Times New Roman" w:hAnsi="Times New Roman" w:cs="Times New Roman"/>
                      <w:b/>
                      <w:szCs w:val="21"/>
                    </w:rPr>
                  </w:pPr>
                  <w:r>
                    <w:rPr>
                      <w:rFonts w:hint="eastAsia" w:ascii="Times New Roman" w:hAnsi="Times New Roman" w:cs="Times New Roman"/>
                      <w:b/>
                      <w:szCs w:val="21"/>
                    </w:rPr>
                    <w:t>拟采取的污染防治措施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Merge w:val="continue"/>
                  <w:vAlign w:val="center"/>
                </w:tcPr>
                <w:p>
                  <w:pPr>
                    <w:jc w:val="center"/>
                    <w:rPr>
                      <w:rFonts w:ascii="Times New Roman" w:hAnsi="Times New Roman" w:cs="Times New Roman"/>
                      <w:b/>
                      <w:szCs w:val="21"/>
                    </w:rPr>
                  </w:pPr>
                </w:p>
              </w:tc>
              <w:tc>
                <w:tcPr>
                  <w:tcW w:w="1418" w:type="dxa"/>
                  <w:vMerge w:val="continue"/>
                  <w:vAlign w:val="center"/>
                </w:tcPr>
                <w:p>
                  <w:pPr>
                    <w:jc w:val="center"/>
                    <w:rPr>
                      <w:rFonts w:ascii="Times New Roman" w:hAnsi="Times New Roman" w:cs="Times New Roman"/>
                      <w:b/>
                      <w:szCs w:val="21"/>
                    </w:rPr>
                  </w:pPr>
                </w:p>
              </w:tc>
              <w:tc>
                <w:tcPr>
                  <w:tcW w:w="1275" w:type="dxa"/>
                  <w:vMerge w:val="continue"/>
                  <w:vAlign w:val="center"/>
                </w:tcPr>
                <w:p>
                  <w:pPr>
                    <w:jc w:val="center"/>
                    <w:rPr>
                      <w:rFonts w:ascii="Times New Roman" w:hAnsi="Times New Roman" w:cs="Times New Roman"/>
                      <w:b/>
                      <w:szCs w:val="21"/>
                    </w:rPr>
                  </w:pPr>
                </w:p>
              </w:tc>
              <w:tc>
                <w:tcPr>
                  <w:tcW w:w="1134" w:type="dxa"/>
                  <w:vMerge w:val="continue"/>
                  <w:vAlign w:val="center"/>
                </w:tcPr>
                <w:p>
                  <w:pPr>
                    <w:jc w:val="center"/>
                    <w:rPr>
                      <w:rFonts w:ascii="Times New Roman" w:hAnsi="Times New Roman" w:cs="Times New Roman"/>
                      <w:b/>
                      <w:szCs w:val="21"/>
                    </w:rPr>
                  </w:pPr>
                </w:p>
              </w:tc>
              <w:tc>
                <w:tcPr>
                  <w:tcW w:w="1063" w:type="dxa"/>
                  <w:vAlign w:val="center"/>
                </w:tcPr>
                <w:p>
                  <w:pPr>
                    <w:jc w:val="center"/>
                    <w:rPr>
                      <w:rFonts w:ascii="Times New Roman" w:hAnsi="Times New Roman" w:cs="Times New Roman"/>
                      <w:b/>
                      <w:szCs w:val="21"/>
                    </w:rPr>
                  </w:pPr>
                  <w:r>
                    <w:rPr>
                      <w:rFonts w:hint="eastAsia" w:ascii="Times New Roman" w:hAnsi="Times New Roman" w:cs="Times New Roman"/>
                      <w:b/>
                      <w:szCs w:val="21"/>
                    </w:rPr>
                    <w:t>粉尘产生量（t/a）</w:t>
                  </w:r>
                </w:p>
              </w:tc>
              <w:tc>
                <w:tcPr>
                  <w:tcW w:w="1064" w:type="dxa"/>
                  <w:vAlign w:val="center"/>
                </w:tcPr>
                <w:p>
                  <w:pPr>
                    <w:jc w:val="center"/>
                    <w:rPr>
                      <w:rFonts w:ascii="Times New Roman" w:hAnsi="Times New Roman" w:cs="Times New Roman"/>
                      <w:b/>
                      <w:szCs w:val="21"/>
                    </w:rPr>
                  </w:pPr>
                  <w:r>
                    <w:rPr>
                      <w:rFonts w:hint="eastAsia" w:ascii="Times New Roman" w:hAnsi="Times New Roman" w:cs="Times New Roman"/>
                      <w:b/>
                      <w:szCs w:val="21"/>
                    </w:rPr>
                    <w:t>产生速率（kg/h）</w:t>
                  </w:r>
                </w:p>
              </w:tc>
              <w:tc>
                <w:tcPr>
                  <w:tcW w:w="2409" w:type="dxa"/>
                  <w:vMerge w:val="continue"/>
                  <w:vAlign w:val="center"/>
                </w:tcPr>
                <w:p>
                  <w:pPr>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pStyle w:val="60"/>
                    <w:numPr>
                      <w:ilvl w:val="0"/>
                      <w:numId w:val="9"/>
                    </w:numPr>
                    <w:ind w:firstLineChars="0"/>
                    <w:jc w:val="center"/>
                    <w:rPr>
                      <w:rFonts w:ascii="Times New Roman" w:hAnsi="Times New Roman" w:cs="Times New Roman"/>
                      <w:szCs w:val="21"/>
                    </w:rPr>
                  </w:pPr>
                </w:p>
              </w:tc>
              <w:tc>
                <w:tcPr>
                  <w:tcW w:w="1418" w:type="dxa"/>
                  <w:vAlign w:val="center"/>
                </w:tcPr>
                <w:p>
                  <w:pPr>
                    <w:jc w:val="center"/>
                    <w:rPr>
                      <w:rFonts w:ascii="Times New Roman" w:hAnsi="Times New Roman" w:cs="Times New Roman"/>
                      <w:szCs w:val="21"/>
                    </w:rPr>
                  </w:pPr>
                  <w:r>
                    <w:rPr>
                      <w:rFonts w:hint="eastAsia" w:ascii="Times New Roman" w:hAnsi="Times New Roman" w:cs="Times New Roman"/>
                      <w:szCs w:val="21"/>
                    </w:rPr>
                    <w:t>破碎机</w:t>
                  </w:r>
                </w:p>
              </w:tc>
              <w:tc>
                <w:tcPr>
                  <w:tcW w:w="1275" w:type="dxa"/>
                  <w:vAlign w:val="center"/>
                </w:tcPr>
                <w:p>
                  <w:pPr>
                    <w:jc w:val="center"/>
                    <w:rPr>
                      <w:rFonts w:ascii="Times New Roman" w:hAnsi="Times New Roman" w:cs="Times New Roman"/>
                      <w:szCs w:val="21"/>
                    </w:rPr>
                  </w:pPr>
                  <w:r>
                    <w:rPr>
                      <w:rFonts w:hint="eastAsia" w:ascii="Times New Roman" w:hAnsi="Times New Roman" w:cs="Times New Roman"/>
                      <w:szCs w:val="21"/>
                    </w:rPr>
                    <w:t>0.05</w:t>
                  </w:r>
                </w:p>
              </w:tc>
              <w:tc>
                <w:tcPr>
                  <w:tcW w:w="1134" w:type="dxa"/>
                  <w:vAlign w:val="center"/>
                </w:tcPr>
                <w:p>
                  <w:pPr>
                    <w:jc w:val="center"/>
                    <w:rPr>
                      <w:rFonts w:ascii="Times New Roman" w:hAnsi="Times New Roman" w:cs="Times New Roman"/>
                      <w:szCs w:val="21"/>
                    </w:rPr>
                  </w:pPr>
                  <w:r>
                    <w:rPr>
                      <w:rFonts w:hint="eastAsia" w:ascii="Times New Roman" w:hAnsi="Times New Roman" w:cs="Times New Roman"/>
                      <w:szCs w:val="21"/>
                    </w:rPr>
                    <w:t>400030</w:t>
                  </w:r>
                </w:p>
              </w:tc>
              <w:tc>
                <w:tcPr>
                  <w:tcW w:w="1063" w:type="dxa"/>
                  <w:vAlign w:val="center"/>
                </w:tcPr>
                <w:p>
                  <w:pPr>
                    <w:jc w:val="center"/>
                    <w:rPr>
                      <w:rFonts w:ascii="Times New Roman" w:hAnsi="Times New Roman" w:cs="Times New Roman"/>
                      <w:szCs w:val="21"/>
                    </w:rPr>
                  </w:pPr>
                  <w:r>
                    <w:rPr>
                      <w:rFonts w:hint="eastAsia" w:ascii="Times New Roman" w:hAnsi="Times New Roman" w:cs="Times New Roman"/>
                      <w:szCs w:val="21"/>
                    </w:rPr>
                    <w:t>20.0015</w:t>
                  </w:r>
                </w:p>
              </w:tc>
              <w:tc>
                <w:tcPr>
                  <w:tcW w:w="106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8.334</w:t>
                  </w:r>
                </w:p>
              </w:tc>
              <w:tc>
                <w:tcPr>
                  <w:tcW w:w="2409"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建设封闭生产车间，同时对整个破碎机和筛分区域进行封闭，并安装布袋除尘设施和粉尘经负压收集系统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pStyle w:val="60"/>
                    <w:numPr>
                      <w:ilvl w:val="0"/>
                      <w:numId w:val="9"/>
                    </w:numPr>
                    <w:ind w:firstLineChars="0"/>
                    <w:jc w:val="center"/>
                    <w:rPr>
                      <w:rFonts w:ascii="Times New Roman" w:hAnsi="Times New Roman" w:cs="Times New Roman"/>
                      <w:szCs w:val="21"/>
                    </w:rPr>
                  </w:pPr>
                </w:p>
              </w:tc>
              <w:tc>
                <w:tcPr>
                  <w:tcW w:w="1418" w:type="dxa"/>
                  <w:vAlign w:val="center"/>
                </w:tcPr>
                <w:p>
                  <w:pPr>
                    <w:jc w:val="center"/>
                    <w:rPr>
                      <w:rFonts w:ascii="Times New Roman" w:hAnsi="Times New Roman" w:cs="Times New Roman"/>
                      <w:szCs w:val="21"/>
                    </w:rPr>
                  </w:pPr>
                  <w:r>
                    <w:rPr>
                      <w:rFonts w:hint="eastAsia" w:ascii="Times New Roman" w:hAnsi="Times New Roman" w:cs="Times New Roman"/>
                      <w:szCs w:val="21"/>
                    </w:rPr>
                    <w:t>振动筛</w:t>
                  </w:r>
                </w:p>
              </w:tc>
              <w:tc>
                <w:tcPr>
                  <w:tcW w:w="1275" w:type="dxa"/>
                  <w:vAlign w:val="center"/>
                </w:tcPr>
                <w:p>
                  <w:pPr>
                    <w:jc w:val="center"/>
                    <w:rPr>
                      <w:rFonts w:ascii="Times New Roman" w:hAnsi="Times New Roman" w:cs="Times New Roman"/>
                      <w:szCs w:val="21"/>
                    </w:rPr>
                  </w:pPr>
                  <w:r>
                    <w:rPr>
                      <w:rFonts w:hint="eastAsia" w:ascii="Times New Roman" w:hAnsi="Times New Roman" w:cs="Times New Roman"/>
                      <w:szCs w:val="21"/>
                    </w:rPr>
                    <w:t>0.025</w:t>
                  </w:r>
                </w:p>
              </w:tc>
              <w:tc>
                <w:tcPr>
                  <w:tcW w:w="1134" w:type="dxa"/>
                  <w:vAlign w:val="center"/>
                </w:tcPr>
                <w:p>
                  <w:pPr>
                    <w:jc w:val="center"/>
                    <w:rPr>
                      <w:rFonts w:ascii="Times New Roman" w:hAnsi="Times New Roman" w:cs="Times New Roman"/>
                      <w:szCs w:val="21"/>
                    </w:rPr>
                  </w:pPr>
                  <w:r>
                    <w:rPr>
                      <w:rFonts w:hint="eastAsia" w:ascii="Times New Roman" w:hAnsi="Times New Roman" w:cs="Times New Roman"/>
                      <w:szCs w:val="21"/>
                    </w:rPr>
                    <w:t>400030</w:t>
                  </w:r>
                </w:p>
              </w:tc>
              <w:tc>
                <w:tcPr>
                  <w:tcW w:w="1063" w:type="dxa"/>
                  <w:vAlign w:val="center"/>
                </w:tcPr>
                <w:p>
                  <w:pPr>
                    <w:jc w:val="center"/>
                    <w:rPr>
                      <w:rFonts w:ascii="Times New Roman" w:hAnsi="Times New Roman" w:cs="Times New Roman"/>
                      <w:szCs w:val="21"/>
                    </w:rPr>
                  </w:pPr>
                  <w:r>
                    <w:rPr>
                      <w:rFonts w:hint="eastAsia" w:ascii="Times New Roman" w:hAnsi="Times New Roman" w:cs="Times New Roman"/>
                      <w:szCs w:val="21"/>
                    </w:rPr>
                    <w:t>10.0008</w:t>
                  </w:r>
                </w:p>
              </w:tc>
              <w:tc>
                <w:tcPr>
                  <w:tcW w:w="106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4.167</w:t>
                  </w:r>
                </w:p>
              </w:tc>
              <w:tc>
                <w:tcPr>
                  <w:tcW w:w="240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22" w:type="dxa"/>
                  <w:gridSpan w:val="2"/>
                  <w:vAlign w:val="center"/>
                </w:tcPr>
                <w:p>
                  <w:pPr>
                    <w:jc w:val="center"/>
                    <w:rPr>
                      <w:rFonts w:ascii="Times New Roman" w:hAnsi="Times New Roman" w:cs="Times New Roman"/>
                      <w:szCs w:val="21"/>
                    </w:rPr>
                  </w:pPr>
                  <w:r>
                    <w:rPr>
                      <w:rFonts w:hint="eastAsia" w:ascii="Times New Roman" w:hAnsi="Times New Roman" w:cs="Times New Roman"/>
                      <w:szCs w:val="21"/>
                    </w:rPr>
                    <w:t>合计</w:t>
                  </w:r>
                </w:p>
              </w:tc>
              <w:tc>
                <w:tcPr>
                  <w:tcW w:w="1275"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13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063" w:type="dxa"/>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hint="eastAsia" w:ascii="Times New Roman" w:hAnsi="Times New Roman" w:cs="Times New Roman"/>
                      <w:szCs w:val="21"/>
                    </w:rPr>
                    <w:instrText xml:space="preserve">=SUM(ABOVE)</w:instrText>
                  </w:r>
                  <w:r>
                    <w:rPr>
                      <w:rFonts w:ascii="Times New Roman" w:hAnsi="Times New Roman" w:cs="Times New Roman"/>
                      <w:szCs w:val="21"/>
                    </w:rPr>
                    <w:instrText xml:space="preserve"> </w:instrText>
                  </w:r>
                  <w:r>
                    <w:rPr>
                      <w:rFonts w:ascii="Times New Roman" w:hAnsi="Times New Roman" w:cs="Times New Roman"/>
                      <w:szCs w:val="21"/>
                    </w:rPr>
                    <w:fldChar w:fldCharType="separate"/>
                  </w:r>
                  <w:r>
                    <w:rPr>
                      <w:rFonts w:ascii="Times New Roman" w:hAnsi="Times New Roman" w:cs="Times New Roman"/>
                      <w:szCs w:val="21"/>
                    </w:rPr>
                    <w:t>30.0023</w:t>
                  </w:r>
                  <w:r>
                    <w:rPr>
                      <w:rFonts w:ascii="Times New Roman" w:hAnsi="Times New Roman" w:cs="Times New Roman"/>
                      <w:szCs w:val="21"/>
                    </w:rPr>
                    <w:fldChar w:fldCharType="end"/>
                  </w:r>
                </w:p>
              </w:tc>
              <w:tc>
                <w:tcPr>
                  <w:tcW w:w="1064" w:type="dxa"/>
                  <w:vAlign w:val="center"/>
                </w:tcPr>
                <w:p>
                  <w:pPr>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=SUM(ABOVE) </w:instrText>
                  </w:r>
                  <w:r>
                    <w:rPr>
                      <w:rFonts w:ascii="Times New Roman" w:hAnsi="Times New Roman" w:cs="Times New Roman"/>
                      <w:szCs w:val="21"/>
                    </w:rPr>
                    <w:fldChar w:fldCharType="separate"/>
                  </w:r>
                  <w:r>
                    <w:rPr>
                      <w:rFonts w:ascii="Times New Roman" w:hAnsi="Times New Roman" w:cs="Times New Roman"/>
                      <w:szCs w:val="21"/>
                    </w:rPr>
                    <w:t>12.501</w:t>
                  </w:r>
                  <w:r>
                    <w:rPr>
                      <w:rFonts w:ascii="Times New Roman" w:hAnsi="Times New Roman" w:cs="Times New Roman"/>
                      <w:szCs w:val="21"/>
                    </w:rPr>
                    <w:fldChar w:fldCharType="end"/>
                  </w:r>
                </w:p>
              </w:tc>
              <w:tc>
                <w:tcPr>
                  <w:tcW w:w="2409"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r>
          </w:tbl>
          <w:p>
            <w:pPr>
              <w:pStyle w:val="31"/>
              <w:rPr>
                <w:color w:val="auto"/>
              </w:rPr>
            </w:pPr>
            <w:r>
              <w:rPr>
                <w:rFonts w:hint="eastAsia"/>
                <w:color w:val="auto"/>
              </w:rPr>
              <w:t>本项目拟建设封闭生产车间，同时对整个破碎机和筛分区域进行封闭，并安装布袋除尘设施。破碎和筛分粉尘经负压收集后进入布袋除尘器处理，之后由15m高排气筒排放，风机风量按5000m</w:t>
            </w:r>
            <w:r>
              <w:rPr>
                <w:rFonts w:hint="eastAsia"/>
                <w:color w:val="auto"/>
                <w:vertAlign w:val="superscript"/>
              </w:rPr>
              <w:t>3</w:t>
            </w:r>
            <w:r>
              <w:rPr>
                <w:rFonts w:hint="eastAsia"/>
                <w:color w:val="auto"/>
              </w:rPr>
              <w:t>/h计，除尘效率按99%计。经核算，本项目破碎和筛分粉尘产排情况如</w:t>
            </w:r>
            <w:r>
              <w:rPr>
                <w:color w:val="auto"/>
              </w:rPr>
              <w:fldChar w:fldCharType="begin"/>
            </w:r>
            <w:r>
              <w:rPr>
                <w:color w:val="auto"/>
              </w:rPr>
              <w:instrText xml:space="preserve"> </w:instrText>
            </w:r>
            <w:r>
              <w:rPr>
                <w:rFonts w:hint="eastAsia"/>
                <w:color w:val="auto"/>
              </w:rPr>
              <w:instrText xml:space="preserve">REF _Ref514918310 \h</w:instrText>
            </w:r>
            <w:r>
              <w:rPr>
                <w:color w:val="auto"/>
              </w:rPr>
              <w:instrText xml:space="preserve">  \* MERGEFORMAT </w:instrText>
            </w:r>
            <w:r>
              <w:rPr>
                <w:color w:val="auto"/>
              </w:rPr>
              <w:fldChar w:fldCharType="separate"/>
            </w:r>
            <w:r>
              <w:rPr>
                <w:rFonts w:hint="eastAsia"/>
                <w:color w:val="auto"/>
              </w:rPr>
              <w:t>表5-</w:t>
            </w:r>
            <w:r>
              <w:rPr>
                <w:color w:val="auto"/>
              </w:rPr>
              <w:t>8</w:t>
            </w:r>
            <w:r>
              <w:rPr>
                <w:color w:val="auto"/>
              </w:rPr>
              <w:fldChar w:fldCharType="end"/>
            </w:r>
            <w:r>
              <w:rPr>
                <w:rFonts w:hint="eastAsia"/>
                <w:color w:val="auto"/>
              </w:rPr>
              <w:t>所示。</w:t>
            </w:r>
          </w:p>
          <w:p>
            <w:pPr>
              <w:spacing w:line="360" w:lineRule="auto"/>
              <w:ind w:firstLine="422" w:firstLineChars="200"/>
              <w:jc w:val="center"/>
              <w:rPr>
                <w:rFonts w:ascii="Times New Roman" w:hAnsi="Times New Roman" w:cs="Times New Roman"/>
                <w:b/>
                <w:bCs/>
              </w:rPr>
            </w:pPr>
            <w:bookmarkStart w:id="58" w:name="_Ref514918310"/>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8</w:t>
            </w:r>
            <w:r>
              <w:rPr>
                <w:rFonts w:ascii="Times New Roman" w:hAnsi="Times New Roman" w:cs="Times New Roman"/>
                <w:b/>
                <w:bCs/>
              </w:rPr>
              <w:fldChar w:fldCharType="end"/>
            </w:r>
            <w:bookmarkEnd w:id="58"/>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破碎筛分粉尘产排情况</w:t>
            </w:r>
          </w:p>
          <w:tbl>
            <w:tblPr>
              <w:tblStyle w:val="25"/>
              <w:tblW w:w="90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76"/>
              <w:gridCol w:w="1133"/>
              <w:gridCol w:w="992"/>
              <w:gridCol w:w="1198"/>
              <w:gridCol w:w="1287"/>
              <w:gridCol w:w="1092"/>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0" w:type="dxa"/>
                  <w:vMerge w:val="restart"/>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名称</w:t>
                  </w:r>
                </w:p>
              </w:tc>
              <w:tc>
                <w:tcPr>
                  <w:tcW w:w="3401" w:type="dxa"/>
                  <w:gridSpan w:val="3"/>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污染物产生情况</w:t>
                  </w:r>
                </w:p>
              </w:tc>
              <w:tc>
                <w:tcPr>
                  <w:tcW w:w="1198" w:type="dxa"/>
                  <w:vMerge w:val="restart"/>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处理效率</w:t>
                  </w:r>
                </w:p>
              </w:tc>
              <w:tc>
                <w:tcPr>
                  <w:tcW w:w="3322" w:type="dxa"/>
                  <w:gridSpan w:val="3"/>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0" w:type="dxa"/>
                  <w:vMerge w:val="continue"/>
                  <w:shd w:val="clear" w:color="auto" w:fill="FFFFFF"/>
                  <w:vAlign w:val="center"/>
                </w:tcPr>
                <w:p>
                  <w:pPr>
                    <w:widowControl/>
                    <w:jc w:val="left"/>
                    <w:rPr>
                      <w:rFonts w:ascii="Times New Roman" w:hAnsi="Times New Roman" w:cs="Times New Roman"/>
                      <w:b/>
                      <w:kern w:val="0"/>
                      <w:szCs w:val="21"/>
                    </w:rPr>
                  </w:pPr>
                </w:p>
              </w:tc>
              <w:tc>
                <w:tcPr>
                  <w:tcW w:w="1276" w:type="dxa"/>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初始浓度（mg/m</w:t>
                  </w:r>
                  <w:r>
                    <w:rPr>
                      <w:rFonts w:ascii="Times New Roman" w:hAnsi="Times New Roman" w:cs="Times New Roman"/>
                      <w:b/>
                      <w:kern w:val="0"/>
                      <w:szCs w:val="21"/>
                      <w:vertAlign w:val="superscript"/>
                    </w:rPr>
                    <w:t>3</w:t>
                  </w:r>
                  <w:r>
                    <w:rPr>
                      <w:rFonts w:ascii="Times New Roman" w:hAnsi="Times New Roman" w:cs="Times New Roman"/>
                      <w:b/>
                      <w:kern w:val="0"/>
                      <w:szCs w:val="21"/>
                    </w:rPr>
                    <w:t>）</w:t>
                  </w:r>
                </w:p>
              </w:tc>
              <w:tc>
                <w:tcPr>
                  <w:tcW w:w="1133" w:type="dxa"/>
                  <w:shd w:val="clear" w:color="auto" w:fill="FFFFFF"/>
                  <w:vAlign w:val="center"/>
                </w:tcPr>
                <w:p>
                  <w:pPr>
                    <w:widowControl/>
                    <w:adjustRightInd w:val="0"/>
                    <w:snapToGrid w:val="0"/>
                    <w:jc w:val="center"/>
                    <w:rPr>
                      <w:rFonts w:ascii="Times New Roman" w:hAnsi="Times New Roman" w:cs="Times New Roman"/>
                      <w:b/>
                      <w:kern w:val="0"/>
                      <w:szCs w:val="21"/>
                    </w:rPr>
                  </w:pPr>
                  <w:r>
                    <w:rPr>
                      <w:rFonts w:hint="eastAsia" w:ascii="Times New Roman" w:hAnsi="Times New Roman" w:cs="Times New Roman"/>
                      <w:b/>
                      <w:kern w:val="0"/>
                      <w:szCs w:val="21"/>
                    </w:rPr>
                    <w:t>产生</w:t>
                  </w:r>
                  <w:r>
                    <w:rPr>
                      <w:rFonts w:ascii="Times New Roman" w:hAnsi="Times New Roman" w:cs="Times New Roman"/>
                      <w:b/>
                      <w:kern w:val="0"/>
                      <w:szCs w:val="21"/>
                    </w:rPr>
                    <w:t>速率（kg/h）</w:t>
                  </w:r>
                </w:p>
              </w:tc>
              <w:tc>
                <w:tcPr>
                  <w:tcW w:w="992" w:type="dxa"/>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产生量(t/a)</w:t>
                  </w:r>
                </w:p>
              </w:tc>
              <w:tc>
                <w:tcPr>
                  <w:tcW w:w="1198" w:type="dxa"/>
                  <w:vMerge w:val="continue"/>
                  <w:shd w:val="clear" w:color="auto" w:fill="FFFFFF"/>
                  <w:vAlign w:val="center"/>
                </w:tcPr>
                <w:p>
                  <w:pPr>
                    <w:widowControl/>
                    <w:jc w:val="left"/>
                    <w:rPr>
                      <w:rFonts w:ascii="Times New Roman" w:hAnsi="Times New Roman" w:cs="Times New Roman"/>
                      <w:b/>
                      <w:kern w:val="0"/>
                      <w:szCs w:val="21"/>
                    </w:rPr>
                  </w:pPr>
                </w:p>
              </w:tc>
              <w:tc>
                <w:tcPr>
                  <w:tcW w:w="1287" w:type="dxa"/>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排放浓度（mg/m</w:t>
                  </w:r>
                  <w:r>
                    <w:rPr>
                      <w:rFonts w:ascii="Times New Roman" w:hAnsi="Times New Roman" w:cs="Times New Roman"/>
                      <w:b/>
                      <w:kern w:val="0"/>
                      <w:szCs w:val="21"/>
                      <w:vertAlign w:val="superscript"/>
                    </w:rPr>
                    <w:t>3</w:t>
                  </w:r>
                  <w:r>
                    <w:rPr>
                      <w:rFonts w:ascii="Times New Roman" w:hAnsi="Times New Roman" w:cs="Times New Roman"/>
                      <w:b/>
                      <w:kern w:val="0"/>
                      <w:szCs w:val="21"/>
                    </w:rPr>
                    <w:t>）</w:t>
                  </w:r>
                </w:p>
              </w:tc>
              <w:tc>
                <w:tcPr>
                  <w:tcW w:w="1092" w:type="dxa"/>
                  <w:shd w:val="clear" w:color="auto" w:fill="FFFFFF"/>
                  <w:vAlign w:val="center"/>
                </w:tcPr>
                <w:p>
                  <w:pPr>
                    <w:widowControl/>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排放速率（kg/h）</w:t>
                  </w:r>
                </w:p>
              </w:tc>
              <w:tc>
                <w:tcPr>
                  <w:tcW w:w="943" w:type="dxa"/>
                  <w:shd w:val="clear" w:color="auto" w:fill="FFFFFF"/>
                  <w:vAlign w:val="center"/>
                </w:tcPr>
                <w:p>
                  <w:pPr>
                    <w:adjustRightInd w:val="0"/>
                    <w:snapToGrid w:val="0"/>
                    <w:jc w:val="center"/>
                    <w:rPr>
                      <w:rFonts w:ascii="Times New Roman" w:hAnsi="Times New Roman" w:cs="Times New Roman"/>
                      <w:b/>
                      <w:kern w:val="0"/>
                      <w:szCs w:val="21"/>
                    </w:rPr>
                  </w:pPr>
                  <w:r>
                    <w:rPr>
                      <w:rFonts w:ascii="Times New Roman" w:hAnsi="Times New Roman" w:cs="Times New Roman"/>
                      <w:b/>
                      <w:kern w:val="0"/>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30" w:type="dxa"/>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破碎和筛分粉尘</w:t>
                  </w:r>
                </w:p>
              </w:tc>
              <w:tc>
                <w:tcPr>
                  <w:tcW w:w="1276"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2500</w:t>
                  </w:r>
                </w:p>
              </w:tc>
              <w:tc>
                <w:tcPr>
                  <w:tcW w:w="1133"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12.50</w:t>
                  </w:r>
                </w:p>
              </w:tc>
              <w:tc>
                <w:tcPr>
                  <w:tcW w:w="992"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30.0</w:t>
                  </w:r>
                </w:p>
              </w:tc>
              <w:tc>
                <w:tcPr>
                  <w:tcW w:w="1198"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9</w:t>
                  </w:r>
                  <w:r>
                    <w:rPr>
                      <w:rFonts w:hint="eastAsia" w:ascii="Times New Roman" w:hAnsi="Times New Roman" w:cs="Times New Roman"/>
                      <w:szCs w:val="21"/>
                    </w:rPr>
                    <w:t>9</w:t>
                  </w:r>
                  <w:r>
                    <w:rPr>
                      <w:rFonts w:ascii="Times New Roman" w:hAnsi="Times New Roman" w:cs="Times New Roman"/>
                      <w:szCs w:val="21"/>
                    </w:rPr>
                    <w:t>%</w:t>
                  </w:r>
                </w:p>
              </w:tc>
              <w:tc>
                <w:tcPr>
                  <w:tcW w:w="1287"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25</w:t>
                  </w:r>
                </w:p>
              </w:tc>
              <w:tc>
                <w:tcPr>
                  <w:tcW w:w="1092"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0.125</w:t>
                  </w:r>
                </w:p>
              </w:tc>
              <w:tc>
                <w:tcPr>
                  <w:tcW w:w="943" w:type="dxa"/>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0.30</w:t>
                  </w:r>
                </w:p>
              </w:tc>
            </w:tr>
          </w:tbl>
          <w:p>
            <w:pPr>
              <w:pStyle w:val="31"/>
              <w:ind w:firstLine="482"/>
              <w:rPr>
                <w:b/>
                <w:color w:val="auto"/>
              </w:rPr>
            </w:pPr>
            <w:r>
              <w:rPr>
                <w:rFonts w:hint="eastAsia"/>
                <w:b/>
                <w:color w:val="auto"/>
              </w:rPr>
              <w:t>（4）砂石堆场扬尘</w:t>
            </w:r>
          </w:p>
          <w:p>
            <w:pPr>
              <w:pStyle w:val="31"/>
              <w:rPr>
                <w:color w:val="auto"/>
              </w:rPr>
            </w:pPr>
            <w:r>
              <w:rPr>
                <w:rFonts w:hint="eastAsia"/>
                <w:color w:val="auto"/>
              </w:rPr>
              <w:t>根据有关调研资料分析，砂、石类堆场主要的大气环境问题，是粒径较小的颗粒在风力作用下起动输送，会对下风向大气环境造成污染。物料堆放会产生一定扬尘，扬尘起尘量与物料粒径、料场作业强度、物料的含水量及环境风速有关。</w:t>
            </w:r>
          </w:p>
          <w:p>
            <w:pPr>
              <w:pStyle w:val="31"/>
              <w:rPr>
                <w:bCs/>
                <w:color w:val="auto"/>
              </w:rPr>
            </w:pPr>
            <w:r>
              <w:rPr>
                <w:rFonts w:hint="eastAsia"/>
                <w:bCs/>
                <w:color w:val="auto"/>
              </w:rPr>
              <w:t>堆场扬尘产生量采取西安冶金建筑学院的干堆扬尘计算公式：</w:t>
            </w:r>
          </w:p>
          <w:p>
            <w:pPr>
              <w:pStyle w:val="31"/>
              <w:jc w:val="center"/>
              <w:rPr>
                <w:bCs/>
                <w:color w:val="auto"/>
              </w:rPr>
            </w:pPr>
            <w:r>
              <w:rPr>
                <w:bCs/>
                <w:color w:val="auto"/>
                <w:position w:val="-10"/>
              </w:rPr>
              <w:object>
                <v:shape id="_x0000_i1036" o:spt="75" type="#_x0000_t75" style="height:18pt;width:120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p>
          <w:p>
            <w:pPr>
              <w:pStyle w:val="4"/>
              <w:spacing w:after="0"/>
              <w:ind w:firstLine="480"/>
              <w:rPr>
                <w:rFonts w:ascii="Times New Roman" w:hAnsi="Times New Roman" w:cs="Times New Roman"/>
              </w:rPr>
            </w:pPr>
            <w:r>
              <w:rPr>
                <w:rFonts w:ascii="Times New Roman" w:hAnsi="Times New Roman" w:cs="Times New Roman"/>
              </w:rPr>
              <w:t>其中：Q——堆场起尘量，mg/s；</w:t>
            </w:r>
          </w:p>
          <w:p>
            <w:pPr>
              <w:pStyle w:val="4"/>
              <w:spacing w:after="0"/>
              <w:ind w:firstLine="48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V</w:t>
            </w:r>
            <w:r>
              <w:rPr>
                <w:rFonts w:ascii="Times New Roman" w:hAnsi="Times New Roman" w:cs="Times New Roman"/>
              </w:rPr>
              <w:t>——</w:t>
            </w:r>
            <w:r>
              <w:rPr>
                <w:rFonts w:hint="eastAsia" w:ascii="Times New Roman" w:hAnsi="Times New Roman" w:cs="Times New Roman"/>
              </w:rPr>
              <w:t>当地平均</w:t>
            </w:r>
            <w:r>
              <w:rPr>
                <w:rFonts w:ascii="Times New Roman" w:hAnsi="Times New Roman" w:cs="Times New Roman"/>
              </w:rPr>
              <w:t>风速，</w:t>
            </w:r>
            <w:r>
              <w:rPr>
                <w:rFonts w:hint="eastAsia" w:ascii="Times New Roman" w:hAnsi="Times New Roman" w:cs="Times New Roman"/>
              </w:rPr>
              <w:t>1.7</w:t>
            </w:r>
            <w:r>
              <w:rPr>
                <w:rFonts w:ascii="Times New Roman" w:hAnsi="Times New Roman" w:cs="Times New Roman"/>
              </w:rPr>
              <w:t>m/s；</w:t>
            </w:r>
          </w:p>
          <w:p>
            <w:pPr>
              <w:pStyle w:val="4"/>
              <w:spacing w:after="0"/>
              <w:ind w:firstLine="480"/>
              <w:rPr>
                <w:rFonts w:ascii="Times New Roman" w:hAnsi="Times New Roman" w:cs="Times New Roman"/>
              </w:rPr>
            </w:pPr>
            <w:r>
              <w:rPr>
                <w:rFonts w:ascii="Times New Roman" w:hAnsi="Times New Roman" w:cs="Times New Roman"/>
              </w:rPr>
              <w:t xml:space="preserve">      S——</w:t>
            </w:r>
            <w:r>
              <w:rPr>
                <w:rFonts w:hint="eastAsia" w:ascii="Times New Roman" w:hAnsi="Times New Roman" w:cs="Times New Roman"/>
              </w:rPr>
              <w:t>堆场</w:t>
            </w:r>
            <w:r>
              <w:rPr>
                <w:rFonts w:ascii="Times New Roman" w:hAnsi="Times New Roman" w:cs="Times New Roman"/>
              </w:rPr>
              <w:t>面积</w:t>
            </w:r>
            <w:r>
              <w:rPr>
                <w:rFonts w:hint="eastAsia" w:ascii="Times New Roman" w:hAnsi="Times New Roman" w:cs="Times New Roman"/>
              </w:rPr>
              <w:t>，500 m</w:t>
            </w:r>
            <w:r>
              <w:rPr>
                <w:rFonts w:hint="eastAsia" w:ascii="Times New Roman" w:hAnsi="Times New Roman" w:cs="Times New Roman"/>
                <w:vertAlign w:val="superscript"/>
              </w:rPr>
              <w:t>2</w:t>
            </w:r>
            <w:r>
              <w:rPr>
                <w:rFonts w:ascii="Times New Roman" w:hAnsi="Times New Roman" w:cs="Times New Roman"/>
              </w:rPr>
              <w:t>。</w:t>
            </w:r>
          </w:p>
          <w:p>
            <w:pPr>
              <w:pStyle w:val="31"/>
              <w:rPr>
                <w:color w:val="auto"/>
              </w:rPr>
            </w:pPr>
            <w:r>
              <w:rPr>
                <w:rFonts w:hint="eastAsia"/>
                <w:color w:val="auto"/>
              </w:rPr>
              <w:t>根据上述公式计算，堆场扬尘产生量为2.85mg/s，即0.01kg/h（0.09t/a）。</w:t>
            </w:r>
            <w:r>
              <w:rPr>
                <w:color w:val="auto"/>
              </w:rPr>
              <w:t>环评</w:t>
            </w:r>
            <w:r>
              <w:rPr>
                <w:rFonts w:hint="eastAsia"/>
                <w:color w:val="auto"/>
              </w:rPr>
              <w:t>要求</w:t>
            </w:r>
            <w:r>
              <w:rPr>
                <w:color w:val="auto"/>
              </w:rPr>
              <w:t>建设单位</w:t>
            </w:r>
            <w:r>
              <w:rPr>
                <w:rFonts w:hint="eastAsia"/>
                <w:color w:val="auto"/>
              </w:rPr>
              <w:t>建设室内堆场，将产品和原料室内堆存，禁止露天堆放，此外室内堆场应设置</w:t>
            </w:r>
            <w:r>
              <w:rPr>
                <w:color w:val="auto"/>
              </w:rPr>
              <w:t>自动</w:t>
            </w:r>
            <w:r>
              <w:rPr>
                <w:rFonts w:hint="eastAsia"/>
                <w:color w:val="auto"/>
              </w:rPr>
              <w:t>喷雾</w:t>
            </w:r>
            <w:r>
              <w:rPr>
                <w:color w:val="auto"/>
              </w:rPr>
              <w:t>装置进行降尘。</w:t>
            </w:r>
            <w:r>
              <w:rPr>
                <w:rFonts w:hint="eastAsia"/>
                <w:color w:val="auto"/>
              </w:rPr>
              <w:t>采取上述措施后</w:t>
            </w:r>
            <w:r>
              <w:rPr>
                <w:color w:val="auto"/>
              </w:rPr>
              <w:t>，</w:t>
            </w:r>
            <w:r>
              <w:rPr>
                <w:rFonts w:hint="eastAsia"/>
                <w:color w:val="auto"/>
              </w:rPr>
              <w:t>相较于未采取抑尘措施的露天堆场，扬尘可减少70%</w:t>
            </w:r>
            <w:r>
              <w:rPr>
                <w:color w:val="auto"/>
              </w:rPr>
              <w:t>，排放的扬尘量可减少至</w:t>
            </w:r>
            <w:r>
              <w:rPr>
                <w:rFonts w:hint="eastAsia"/>
                <w:color w:val="auto"/>
              </w:rPr>
              <w:t>0.027</w:t>
            </w:r>
            <w:r>
              <w:rPr>
                <w:color w:val="auto"/>
              </w:rPr>
              <w:t>t/a</w:t>
            </w:r>
            <w:r>
              <w:rPr>
                <w:rFonts w:hint="eastAsia"/>
                <w:color w:val="auto"/>
              </w:rPr>
              <w:t>（0.003kg/h）</w:t>
            </w:r>
            <w:r>
              <w:rPr>
                <w:color w:val="auto"/>
              </w:rPr>
              <w:t>。</w:t>
            </w:r>
          </w:p>
          <w:p>
            <w:pPr>
              <w:pStyle w:val="31"/>
              <w:ind w:firstLine="482"/>
              <w:rPr>
                <w:rFonts w:cs="Times New Roman"/>
                <w:b/>
                <w:color w:val="auto"/>
              </w:rPr>
            </w:pPr>
            <w:r>
              <w:rPr>
                <w:rFonts w:hint="eastAsia" w:cs="Times New Roman"/>
                <w:b/>
                <w:color w:val="auto"/>
              </w:rPr>
              <w:t>（5）砂石落料及装卸粉尘</w:t>
            </w:r>
          </w:p>
          <w:p>
            <w:pPr>
              <w:pStyle w:val="31"/>
              <w:spacing w:line="336" w:lineRule="auto"/>
              <w:rPr>
                <w:rFonts w:cs="Times New Roman"/>
                <w:bCs/>
                <w:color w:val="auto"/>
              </w:rPr>
            </w:pPr>
            <w:r>
              <w:rPr>
                <w:rFonts w:hint="eastAsia" w:cs="Times New Roman"/>
                <w:bCs/>
                <w:color w:val="auto"/>
              </w:rPr>
              <w:t>项目产生的产品经皮带机输送至产品堆场以及产品铲装过程会产生少量扬尘，落料及装卸粉尘粉尘产生量的大小与物料硬度、自然含湿量、装卸高度、风流速度及治理水平等一系列因素关系密切，主要措施为喷雾抑尘，增大物料湿度。</w:t>
            </w:r>
          </w:p>
          <w:p>
            <w:pPr>
              <w:pStyle w:val="31"/>
              <w:spacing w:line="336" w:lineRule="auto"/>
              <w:rPr>
                <w:rFonts w:cs="Times New Roman"/>
                <w:bCs/>
                <w:color w:val="auto"/>
              </w:rPr>
            </w:pPr>
            <w:r>
              <w:rPr>
                <w:rFonts w:hint="eastAsia" w:cs="Times New Roman"/>
                <w:bCs/>
                <w:color w:val="auto"/>
              </w:rPr>
              <w:t>参照《逸散性工业粉尘控制技术》、《采石场大气污染物源强分析研究》等资料，石料落料及装卸逸散尘的产生系数按0.001kg/t物料计，则本项目落料及装卸粉尘产生量为</w:t>
            </w:r>
            <w:r>
              <w:rPr>
                <w:rFonts w:hint="eastAsia"/>
                <w:color w:val="auto"/>
              </w:rPr>
              <w:t>0.400t/a（0.167kg/h）</w:t>
            </w:r>
            <w:r>
              <w:rPr>
                <w:rFonts w:hint="eastAsia" w:cs="Times New Roman"/>
                <w:bCs/>
                <w:color w:val="auto"/>
              </w:rPr>
              <w:t>。环评要求建设单位对各输送皮带进行全封闭，并在输送皮带及落料口安装自动喷雾装置喷雾抑尘。采取上述措施后，落料及装卸粉尘粉尘排放量可降低80%，则本项目落料及装卸扬尘排放量约为0.080t/a（0.033kg/h）。</w:t>
            </w:r>
          </w:p>
          <w:p>
            <w:pPr>
              <w:pStyle w:val="31"/>
              <w:ind w:firstLine="482"/>
              <w:rPr>
                <w:rFonts w:cs="Times New Roman"/>
                <w:b/>
                <w:color w:val="auto"/>
              </w:rPr>
            </w:pPr>
            <w:r>
              <w:rPr>
                <w:rFonts w:hint="eastAsia" w:cs="Times New Roman"/>
                <w:b/>
                <w:color w:val="auto"/>
              </w:rPr>
              <w:t>（6）物料运输扬尘</w:t>
            </w:r>
          </w:p>
          <w:p>
            <w:pPr>
              <w:pStyle w:val="31"/>
              <w:spacing w:line="336" w:lineRule="auto"/>
              <w:rPr>
                <w:bCs/>
                <w:color w:val="auto"/>
              </w:rPr>
            </w:pPr>
            <w:r>
              <w:rPr>
                <w:rFonts w:hint="eastAsia"/>
                <w:bCs/>
                <w:color w:val="auto"/>
              </w:rPr>
              <w:t>根据企业提供资料可知，项目原料、产品及固废均采用汽车运输，运输量共计83.87万</w:t>
            </w:r>
            <w:r>
              <w:rPr>
                <w:bCs/>
                <w:color w:val="auto"/>
              </w:rPr>
              <w:t>t/a</w:t>
            </w:r>
            <w:r>
              <w:rPr>
                <w:rFonts w:hint="eastAsia"/>
                <w:color w:val="auto"/>
                <w:spacing w:val="-1"/>
              </w:rPr>
              <w:t>（其中原料41.935万</w:t>
            </w:r>
            <w:r>
              <w:rPr>
                <w:rFonts w:eastAsia="Times New Roman"/>
                <w:color w:val="auto"/>
              </w:rPr>
              <w:t>t/</w:t>
            </w:r>
            <w:r>
              <w:rPr>
                <w:rFonts w:eastAsia="Times New Roman"/>
                <w:color w:val="auto"/>
                <w:spacing w:val="-1"/>
              </w:rPr>
              <w:t>a</w:t>
            </w:r>
            <w:r>
              <w:rPr>
                <w:rFonts w:hint="eastAsia"/>
                <w:color w:val="auto"/>
                <w:spacing w:val="-1"/>
              </w:rPr>
              <w:t>，石材产品1.89</w:t>
            </w:r>
            <w:r>
              <w:rPr>
                <w:rFonts w:hint="eastAsia"/>
                <w:color w:val="auto"/>
              </w:rPr>
              <w:t>万</w:t>
            </w:r>
            <w:r>
              <w:rPr>
                <w:rFonts w:eastAsia="Times New Roman"/>
                <w:color w:val="auto"/>
              </w:rPr>
              <w:t>t/</w:t>
            </w:r>
            <w:r>
              <w:rPr>
                <w:rFonts w:eastAsia="Times New Roman"/>
                <w:color w:val="auto"/>
                <w:spacing w:val="-1"/>
              </w:rPr>
              <w:t>a</w:t>
            </w:r>
            <w:r>
              <w:rPr>
                <w:rFonts w:hint="eastAsia"/>
                <w:color w:val="auto"/>
                <w:spacing w:val="-1"/>
              </w:rPr>
              <w:t>，砂石产品40</w:t>
            </w:r>
            <w:r>
              <w:rPr>
                <w:rFonts w:hint="eastAsia"/>
                <w:color w:val="auto"/>
              </w:rPr>
              <w:t>万</w:t>
            </w:r>
            <w:r>
              <w:rPr>
                <w:rFonts w:eastAsia="Times New Roman"/>
                <w:color w:val="auto"/>
              </w:rPr>
              <w:t>t/</w:t>
            </w:r>
            <w:r>
              <w:rPr>
                <w:rFonts w:eastAsia="Times New Roman"/>
                <w:color w:val="auto"/>
                <w:spacing w:val="-1"/>
              </w:rPr>
              <w:t>a</w:t>
            </w:r>
            <w:r>
              <w:rPr>
                <w:rFonts w:hint="eastAsia"/>
                <w:color w:val="auto"/>
                <w:spacing w:val="-1"/>
              </w:rPr>
              <w:t>，沉渣及粉尘0.045万t/a）</w:t>
            </w:r>
            <w:r>
              <w:rPr>
                <w:rFonts w:hint="eastAsia"/>
                <w:bCs/>
                <w:color w:val="auto"/>
              </w:rPr>
              <w:t>，用载重35</w:t>
            </w:r>
            <w:r>
              <w:rPr>
                <w:bCs/>
                <w:color w:val="auto"/>
              </w:rPr>
              <w:t>t/</w:t>
            </w:r>
            <w:r>
              <w:rPr>
                <w:rFonts w:hint="eastAsia"/>
                <w:bCs/>
                <w:color w:val="auto"/>
              </w:rPr>
              <w:t>车计，每天运输80车次。由于项目汽车运输量大，载重车辆频繁的进出，将引起周边道路扬尘量增加，影响到厂区及周边的环境空气质量，参照国外的测定资料，其产尘强度为</w:t>
            </w:r>
            <w:r>
              <w:rPr>
                <w:bCs/>
                <w:color w:val="auto"/>
              </w:rPr>
              <w:t>620</w:t>
            </w:r>
            <w:r>
              <w:rPr>
                <w:rFonts w:hint="eastAsia"/>
                <w:bCs/>
                <w:color w:val="auto"/>
              </w:rPr>
              <w:t>～</w:t>
            </w:r>
            <w:r>
              <w:rPr>
                <w:bCs/>
                <w:color w:val="auto"/>
              </w:rPr>
              <w:t>3650mg/s</w:t>
            </w:r>
            <w:r>
              <w:rPr>
                <w:rFonts w:hint="eastAsia"/>
                <w:bCs/>
                <w:color w:val="auto"/>
              </w:rPr>
              <w:t>，在未采取措施的情况下，路面空气中粉尘浓度为</w:t>
            </w:r>
            <w:r>
              <w:rPr>
                <w:bCs/>
                <w:color w:val="auto"/>
              </w:rPr>
              <w:t>2.3</w:t>
            </w:r>
            <w:r>
              <w:rPr>
                <w:rFonts w:hint="eastAsia"/>
                <w:bCs/>
                <w:color w:val="auto"/>
              </w:rPr>
              <w:t>～</w:t>
            </w:r>
            <w:r>
              <w:rPr>
                <w:bCs/>
                <w:color w:val="auto"/>
              </w:rPr>
              <w:t>15.1mg/m</w:t>
            </w:r>
            <w:r>
              <w:rPr>
                <w:bCs/>
                <w:color w:val="auto"/>
                <w:vertAlign w:val="superscript"/>
              </w:rPr>
              <w:t>3</w:t>
            </w:r>
            <w:r>
              <w:rPr>
                <w:rFonts w:hint="eastAsia"/>
                <w:bCs/>
                <w:color w:val="auto"/>
              </w:rPr>
              <w:t>。</w:t>
            </w:r>
          </w:p>
          <w:p>
            <w:pPr>
              <w:pStyle w:val="31"/>
              <w:rPr>
                <w:bCs/>
                <w:color w:val="auto"/>
              </w:rPr>
            </w:pPr>
            <w:r>
              <w:rPr>
                <w:rFonts w:hint="eastAsia"/>
                <w:bCs/>
                <w:color w:val="auto"/>
              </w:rPr>
              <w:t>本评价选取上海港环境保护中心和武汉水运工程学院提出的经验公式进行计算，公式如下：</w:t>
            </w:r>
          </w:p>
          <w:p>
            <w:pPr>
              <w:adjustRightInd w:val="0"/>
              <w:snapToGrid w:val="0"/>
              <w:spacing w:line="360" w:lineRule="auto"/>
              <w:jc w:val="center"/>
            </w:pPr>
            <w:r>
              <w:rPr>
                <w:position w:val="-28"/>
              </w:rPr>
              <w:object>
                <v:shape id="_x0000_i1037" o:spt="75" type="#_x0000_t75" style="height:33.3pt;width:158.2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p>
          <w:p>
            <w:pPr>
              <w:adjustRightInd w:val="0"/>
              <w:snapToGrid w:val="0"/>
              <w:spacing w:line="360" w:lineRule="auto"/>
              <w:jc w:val="center"/>
            </w:pPr>
            <w:r>
              <w:rPr>
                <w:position w:val="-28"/>
                <w:szCs w:val="20"/>
              </w:rPr>
              <w:object>
                <v:shape id="_x0000_i1038" o:spt="75" type="#_x0000_t75" style="height:32.25pt;width:81.4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p>
          <w:p>
            <w:pPr>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sz w:val="24"/>
              </w:rPr>
              <w:t>其中：</w:t>
            </w:r>
            <w:r>
              <w:rPr>
                <w:rFonts w:ascii="Times New Roman" w:hAnsi="Times New Roman" w:cs="Times New Roman"/>
                <w:iCs/>
                <w:sz w:val="24"/>
              </w:rPr>
              <w:t xml:space="preserve"> </w:t>
            </w:r>
            <w:r>
              <w:rPr>
                <w:rFonts w:ascii="Times New Roman" w:hAnsi="Times New Roman" w:cs="Times New Roman"/>
                <w:iCs/>
                <w:sz w:val="24"/>
              </w:rPr>
              <w:fldChar w:fldCharType="begin"/>
            </w:r>
            <w:r>
              <w:rPr>
                <w:rFonts w:ascii="Times New Roman" w:hAnsi="Times New Roman" w:cs="Times New Roman"/>
                <w:iCs/>
                <w:sz w:val="24"/>
              </w:rPr>
              <w:instrText xml:space="preserve"> QUOTE </w:instrText>
            </w:r>
            <w:r>
              <w:rPr>
                <w:rFonts w:ascii="Times New Roman" w:hAnsi="Times New Roman" w:cs="Times New Roman"/>
                <w:position w:val="-15"/>
                <w:sz w:val="24"/>
              </w:rPr>
              <w:pict>
                <v:shape id="_x0000_i1039" o:spt="75" type="#_x0000_t75" style="height:23.25pt;width:14.25pt;" filled="f" o:preferrelative="t" stroked="f" coordsize="21600,21600" equationxml="&lt;">
                  <v:path/>
                  <v:fill on="f" focussize="0,0"/>
                  <v:stroke on="f" joinstyle="miter"/>
                  <v:imagedata r:id="rId36" chromakey="#FFFFFF" o:title=""/>
                  <o:lock v:ext="edit" aspectratio="t"/>
                  <w10:wrap type="none"/>
                  <w10:anchorlock/>
                </v:shape>
              </w:pict>
            </w:r>
            <w:r>
              <w:rPr>
                <w:rFonts w:ascii="Times New Roman" w:hAnsi="Times New Roman" w:cs="Times New Roman"/>
                <w:iCs/>
                <w:sz w:val="24"/>
              </w:rPr>
              <w:instrText xml:space="preserve"> </w:instrText>
            </w:r>
            <w:r>
              <w:rPr>
                <w:rFonts w:ascii="Times New Roman" w:hAnsi="Times New Roman" w:cs="Times New Roman"/>
                <w:iCs/>
                <w:sz w:val="24"/>
              </w:rPr>
              <w:fldChar w:fldCharType="separate"/>
            </w:r>
            <w:r>
              <w:rPr>
                <w:rFonts w:ascii="Times New Roman" w:hAnsi="Times New Roman" w:cs="Times New Roman"/>
                <w:position w:val="-15"/>
                <w:sz w:val="24"/>
              </w:rPr>
              <w:pict>
                <v:shape id="_x0000_i1040" o:spt="75" type="#_x0000_t75" style="height:23.25pt;width:14.25pt;" filled="f" o:preferrelative="t" stroked="f" coordsize="21600,21600" equationxml="&lt;">
                  <v:path/>
                  <v:fill on="f" focussize="0,0"/>
                  <v:stroke on="f" joinstyle="miter"/>
                  <v:imagedata r:id="rId36" chromakey="#FFFFFF" o:title=""/>
                  <o:lock v:ext="edit" aspectratio="t"/>
                  <w10:wrap type="none"/>
                  <w10:anchorlock/>
                </v:shape>
              </w:pict>
            </w:r>
            <w:r>
              <w:rPr>
                <w:rFonts w:ascii="Times New Roman" w:hAnsi="Times New Roman" w:cs="Times New Roman"/>
                <w:iCs/>
                <w:sz w:val="24"/>
              </w:rPr>
              <w:fldChar w:fldCharType="end"/>
            </w:r>
            <w:r>
              <w:rPr>
                <w:rFonts w:ascii="Times New Roman" w:hAnsi="Times New Roman" w:cs="Times New Roman"/>
                <w:iCs/>
                <w:sz w:val="24"/>
              </w:rPr>
              <w:t>——道路扬尘量，（kg/km·辆）；</w:t>
            </w:r>
          </w:p>
          <w:p>
            <w:pPr>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fldChar w:fldCharType="begin"/>
            </w:r>
            <w:r>
              <w:rPr>
                <w:rFonts w:ascii="Times New Roman" w:hAnsi="Times New Roman" w:cs="Times New Roman"/>
                <w:iCs/>
                <w:sz w:val="24"/>
              </w:rPr>
              <w:instrText xml:space="preserve"> QUOTE </w:instrText>
            </w:r>
            <w:r>
              <w:rPr>
                <w:rFonts w:ascii="Times New Roman" w:hAnsi="Times New Roman" w:cs="Times New Roman"/>
                <w:position w:val="-17"/>
                <w:sz w:val="24"/>
              </w:rPr>
              <w:pict>
                <v:shape id="_x0000_i1041" o:spt="75" type="#_x0000_t75" style="height:23.25pt;width:17.25pt;" filled="f" o:preferrelative="t" stroked="f" coordsize="21600,21600" equationxml="&lt;">
                  <v:path/>
                  <v:fill on="f" focussize="0,0"/>
                  <v:stroke on="f" joinstyle="miter"/>
                  <v:imagedata r:id="rId37" chromakey="#FFFFFF" o:title=""/>
                  <o:lock v:ext="edit" aspectratio="t"/>
                  <w10:wrap type="none"/>
                  <w10:anchorlock/>
                </v:shape>
              </w:pict>
            </w:r>
            <w:r>
              <w:rPr>
                <w:rFonts w:ascii="Times New Roman" w:hAnsi="Times New Roman" w:cs="Times New Roman"/>
                <w:iCs/>
                <w:sz w:val="24"/>
              </w:rPr>
              <w:instrText xml:space="preserve"> </w:instrText>
            </w:r>
            <w:r>
              <w:rPr>
                <w:rFonts w:ascii="Times New Roman" w:hAnsi="Times New Roman" w:cs="Times New Roman"/>
                <w:iCs/>
                <w:sz w:val="24"/>
              </w:rPr>
              <w:fldChar w:fldCharType="separate"/>
            </w:r>
            <w:r>
              <w:rPr>
                <w:rFonts w:ascii="Times New Roman" w:hAnsi="Times New Roman" w:cs="Times New Roman"/>
                <w:position w:val="-17"/>
                <w:sz w:val="24"/>
              </w:rPr>
              <w:pict>
                <v:shape id="_x0000_i1042" o:spt="75" type="#_x0000_t75" style="height:23.25pt;width:17.25pt;" filled="f" o:preferrelative="t" stroked="f" coordsize="21600,21600" equationxml="&lt;">
                  <v:path/>
                  <v:fill on="f" focussize="0,0"/>
                  <v:stroke on="f" joinstyle="miter"/>
                  <v:imagedata r:id="rId37" chromakey="#FFFFFF" o:title=""/>
                  <o:lock v:ext="edit" aspectratio="t"/>
                  <w10:wrap type="none"/>
                  <w10:anchorlock/>
                </v:shape>
              </w:pict>
            </w:r>
            <w:r>
              <w:rPr>
                <w:rFonts w:ascii="Times New Roman" w:hAnsi="Times New Roman" w:cs="Times New Roman"/>
                <w:iCs/>
                <w:sz w:val="24"/>
              </w:rPr>
              <w:fldChar w:fldCharType="end"/>
            </w:r>
            <w:r>
              <w:rPr>
                <w:rFonts w:ascii="Times New Roman" w:hAnsi="Times New Roman" w:cs="Times New Roman"/>
                <w:iCs/>
                <w:sz w:val="24"/>
              </w:rPr>
              <w:t>——总扬尘量，（kg/a）；</w:t>
            </w:r>
          </w:p>
          <w:p>
            <w:pPr>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t>V ——车辆速度，20km/h；</w:t>
            </w:r>
          </w:p>
          <w:p>
            <w:pPr>
              <w:tabs>
                <w:tab w:val="right" w:pos="8663"/>
              </w:tabs>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t>M ——车辆载重，</w:t>
            </w:r>
            <w:r>
              <w:rPr>
                <w:rFonts w:hint="eastAsia" w:ascii="Times New Roman" w:hAnsi="Times New Roman" w:cs="Times New Roman"/>
                <w:iCs/>
                <w:sz w:val="24"/>
              </w:rPr>
              <w:t>35</w:t>
            </w:r>
            <w:r>
              <w:rPr>
                <w:rFonts w:ascii="Times New Roman" w:hAnsi="Times New Roman" w:cs="Times New Roman"/>
                <w:iCs/>
                <w:sz w:val="24"/>
              </w:rPr>
              <w:t>t/辆；</w:t>
            </w:r>
          </w:p>
          <w:p>
            <w:pPr>
              <w:tabs>
                <w:tab w:val="right" w:pos="8663"/>
              </w:tabs>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t>P——路面灰尘覆盖率，0.05~0.3kg/m</w:t>
            </w:r>
            <w:r>
              <w:rPr>
                <w:rFonts w:ascii="Times New Roman" w:hAnsi="Times New Roman" w:cs="Times New Roman"/>
                <w:iCs/>
                <w:sz w:val="24"/>
                <w:vertAlign w:val="superscript"/>
              </w:rPr>
              <w:t>2</w:t>
            </w:r>
            <w:r>
              <w:rPr>
                <w:rFonts w:ascii="Times New Roman" w:hAnsi="Times New Roman" w:cs="Times New Roman"/>
                <w:iCs/>
                <w:sz w:val="24"/>
              </w:rPr>
              <w:t>，取0.</w:t>
            </w:r>
            <w:r>
              <w:rPr>
                <w:rFonts w:hint="eastAsia" w:ascii="Times New Roman" w:hAnsi="Times New Roman" w:cs="Times New Roman"/>
                <w:iCs/>
                <w:sz w:val="24"/>
              </w:rPr>
              <w:t>05</w:t>
            </w:r>
            <w:r>
              <w:rPr>
                <w:rFonts w:ascii="Times New Roman" w:hAnsi="Times New Roman" w:cs="Times New Roman"/>
                <w:iCs/>
                <w:sz w:val="24"/>
              </w:rPr>
              <w:t>kg/m</w:t>
            </w:r>
            <w:r>
              <w:rPr>
                <w:rFonts w:ascii="Times New Roman" w:hAnsi="Times New Roman" w:cs="Times New Roman"/>
                <w:iCs/>
                <w:sz w:val="24"/>
                <w:vertAlign w:val="superscript"/>
              </w:rPr>
              <w:t>2</w:t>
            </w:r>
            <w:r>
              <w:rPr>
                <w:rFonts w:ascii="Times New Roman" w:hAnsi="Times New Roman" w:cs="Times New Roman"/>
                <w:iCs/>
                <w:sz w:val="24"/>
              </w:rPr>
              <w:t>；</w:t>
            </w:r>
          </w:p>
          <w:p>
            <w:pPr>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t>L——运距，km；</w:t>
            </w:r>
          </w:p>
          <w:p>
            <w:pPr>
              <w:adjustRightInd w:val="0"/>
              <w:snapToGrid w:val="0"/>
              <w:spacing w:line="360" w:lineRule="auto"/>
              <w:ind w:firstLine="566" w:firstLineChars="236"/>
              <w:rPr>
                <w:rFonts w:ascii="Times New Roman" w:hAnsi="Times New Roman" w:cs="Times New Roman"/>
                <w:iCs/>
                <w:sz w:val="24"/>
              </w:rPr>
            </w:pPr>
            <w:r>
              <w:rPr>
                <w:rFonts w:ascii="Times New Roman" w:hAnsi="Times New Roman" w:cs="Times New Roman"/>
                <w:iCs/>
                <w:sz w:val="24"/>
              </w:rPr>
              <w:t>Q——运输量，</w:t>
            </w:r>
            <w:r>
              <w:rPr>
                <w:rFonts w:hint="eastAsia" w:ascii="Times New Roman" w:hAnsi="Times New Roman" w:cs="Times New Roman"/>
                <w:iCs/>
                <w:sz w:val="24"/>
              </w:rPr>
              <w:t>838700</w:t>
            </w:r>
            <w:r>
              <w:rPr>
                <w:rFonts w:ascii="Times New Roman" w:hAnsi="Times New Roman" w:cs="Times New Roman"/>
                <w:iCs/>
                <w:sz w:val="24"/>
              </w:rPr>
              <w:t>t/a。</w:t>
            </w:r>
          </w:p>
          <w:p>
            <w:pPr>
              <w:pStyle w:val="31"/>
              <w:rPr>
                <w:bCs/>
                <w:color w:val="auto"/>
              </w:rPr>
            </w:pPr>
            <w:r>
              <w:rPr>
                <w:rFonts w:hint="eastAsia"/>
                <w:bCs/>
                <w:color w:val="auto"/>
              </w:rPr>
              <w:t>厂区内运输距离按50m计，经计算，道路扬尘量为0.377</w:t>
            </w:r>
            <w:r>
              <w:rPr>
                <w:rFonts w:cs="Times New Roman"/>
                <w:iCs/>
                <w:color w:val="auto"/>
              </w:rPr>
              <w:t>kg/km·辆</w:t>
            </w:r>
            <w:r>
              <w:rPr>
                <w:rFonts w:hint="eastAsia" w:cs="Times New Roman"/>
                <w:iCs/>
                <w:color w:val="auto"/>
              </w:rPr>
              <w:t>，总</w:t>
            </w:r>
            <w:r>
              <w:rPr>
                <w:rFonts w:hint="eastAsia"/>
                <w:bCs/>
                <w:color w:val="auto"/>
              </w:rPr>
              <w:t>运输扬尘总量为0.452</w:t>
            </w:r>
            <w:r>
              <w:rPr>
                <w:bCs/>
                <w:color w:val="auto"/>
              </w:rPr>
              <w:t>t/a</w:t>
            </w:r>
            <w:r>
              <w:rPr>
                <w:rFonts w:hint="eastAsia"/>
                <w:bCs/>
                <w:color w:val="auto"/>
              </w:rPr>
              <w:t>（0.188kg/h），</w:t>
            </w:r>
            <w:r>
              <w:rPr>
                <w:rFonts w:hint="eastAsia"/>
                <w:color w:val="auto"/>
                <w:szCs w:val="20"/>
              </w:rPr>
              <w:t>为防止运输道路积尘引起二次扬尘，运有物料的车辆应采用棚布遮盖，定期人工清扫，并进行防尘洒水，在晴天对路面进行清扫和喷雾抑尘，并适当控制车速，此外，厂区入口处应设置洗车台和洗轮机，对进出车辆车身及轮胎进行清洗，减少运输车辆沾附的泥沙。经上述措施后预计粉尘抑制率可达到8</w:t>
            </w:r>
            <w:r>
              <w:rPr>
                <w:color w:val="auto"/>
                <w:szCs w:val="20"/>
              </w:rPr>
              <w:t>0%</w:t>
            </w:r>
            <w:r>
              <w:rPr>
                <w:rFonts w:hint="eastAsia"/>
                <w:color w:val="auto"/>
                <w:szCs w:val="20"/>
              </w:rPr>
              <w:t>，即运输粉尘排放量约为0.090</w:t>
            </w:r>
            <w:r>
              <w:rPr>
                <w:color w:val="auto"/>
                <w:szCs w:val="20"/>
              </w:rPr>
              <w:t>t/a</w:t>
            </w:r>
            <w:r>
              <w:rPr>
                <w:rFonts w:hint="eastAsia"/>
                <w:color w:val="auto"/>
                <w:szCs w:val="20"/>
              </w:rPr>
              <w:t>（0.038kg/h），呈无组织排放。</w:t>
            </w:r>
          </w:p>
          <w:p>
            <w:pPr>
              <w:pStyle w:val="31"/>
              <w:rPr>
                <w:bCs/>
                <w:color w:val="auto"/>
              </w:rPr>
            </w:pPr>
            <w:r>
              <w:rPr>
                <w:rFonts w:hint="eastAsia"/>
                <w:bCs/>
                <w:color w:val="auto"/>
              </w:rPr>
              <w:t>车辆在厂区外道路上行驶时产生的扬尘可能影响沿途居民，物料散落也将影响沿线环境空气。</w:t>
            </w:r>
          </w:p>
          <w:p>
            <w:pPr>
              <w:pStyle w:val="31"/>
              <w:ind w:firstLine="482"/>
              <w:rPr>
                <w:rFonts w:cs="Times New Roman"/>
                <w:b/>
                <w:color w:val="auto"/>
              </w:rPr>
            </w:pPr>
            <w:r>
              <w:rPr>
                <w:rFonts w:hint="eastAsia" w:cs="Times New Roman"/>
                <w:b/>
                <w:color w:val="auto"/>
              </w:rPr>
              <w:t>（7）汽车尾气</w:t>
            </w:r>
          </w:p>
          <w:p>
            <w:pPr>
              <w:pStyle w:val="31"/>
              <w:rPr>
                <w:rFonts w:cs="Times New Roman"/>
                <w:color w:val="auto"/>
              </w:rPr>
            </w:pPr>
            <w:r>
              <w:rPr>
                <w:rFonts w:hint="eastAsia" w:cs="Times New Roman"/>
                <w:color w:val="auto"/>
              </w:rPr>
              <w:t>运输车辆在行驶、停泊过程中将产生汽车尾气污染，污染物主要是</w:t>
            </w:r>
            <w:r>
              <w:rPr>
                <w:rFonts w:cs="Times New Roman"/>
                <w:color w:val="auto"/>
              </w:rPr>
              <w:t>CO、THC</w:t>
            </w:r>
            <w:r>
              <w:rPr>
                <w:rFonts w:hint="eastAsia" w:cs="Times New Roman"/>
                <w:color w:val="auto"/>
              </w:rPr>
              <w:t>和</w:t>
            </w:r>
            <w:r>
              <w:rPr>
                <w:rFonts w:cs="Times New Roman"/>
                <w:color w:val="auto"/>
              </w:rPr>
              <w:t>NOx</w:t>
            </w:r>
            <w:r>
              <w:rPr>
                <w:rFonts w:hint="eastAsia" w:cs="Times New Roman"/>
                <w:color w:val="auto"/>
              </w:rPr>
              <w:t>，排放量采用污染系数法计算。单车排放</w:t>
            </w:r>
            <w:r>
              <w:rPr>
                <w:rFonts w:cs="Times New Roman"/>
                <w:color w:val="auto"/>
              </w:rPr>
              <w:t>CO</w:t>
            </w:r>
            <w:r>
              <w:rPr>
                <w:rFonts w:hint="eastAsia" w:cs="Times New Roman"/>
                <w:color w:val="auto"/>
              </w:rPr>
              <w:t>、</w:t>
            </w:r>
            <w:r>
              <w:rPr>
                <w:rFonts w:cs="Times New Roman"/>
                <w:color w:val="auto"/>
              </w:rPr>
              <w:t>THC</w:t>
            </w:r>
            <w:r>
              <w:rPr>
                <w:rFonts w:hint="eastAsia" w:cs="Times New Roman"/>
                <w:color w:val="auto"/>
              </w:rPr>
              <w:t>和</w:t>
            </w:r>
            <w:r>
              <w:rPr>
                <w:rFonts w:cs="Times New Roman"/>
                <w:color w:val="auto"/>
              </w:rPr>
              <w:t>NOx</w:t>
            </w:r>
            <w:r>
              <w:rPr>
                <w:rFonts w:hint="eastAsia" w:cs="Times New Roman"/>
                <w:color w:val="auto"/>
              </w:rPr>
              <w:t>限值参考《重型车用汽油发动机与汽车排气污染物排放限值及测量方法（中国</w:t>
            </w:r>
            <w:r>
              <w:rPr>
                <w:rFonts w:cs="Times New Roman"/>
                <w:color w:val="auto"/>
              </w:rPr>
              <w:t>III</w:t>
            </w:r>
            <w:r>
              <w:rPr>
                <w:rFonts w:hint="eastAsia" w:cs="Times New Roman"/>
                <w:color w:val="auto"/>
              </w:rPr>
              <w:t>、</w:t>
            </w:r>
            <w:r>
              <w:rPr>
                <w:rFonts w:cs="Times New Roman"/>
                <w:color w:val="auto"/>
              </w:rPr>
              <w:t>IV</w:t>
            </w:r>
            <w:r>
              <w:rPr>
                <w:rFonts w:hint="eastAsia" w:cs="Times New Roman"/>
                <w:color w:val="auto"/>
              </w:rPr>
              <w:t>阶段）》</w:t>
            </w:r>
            <w:r>
              <w:rPr>
                <w:rFonts w:cs="Times New Roman"/>
                <w:color w:val="auto"/>
              </w:rPr>
              <w:t>(GB 14762-2008)</w:t>
            </w:r>
            <w:r>
              <w:rPr>
                <w:rFonts w:hint="eastAsia" w:cs="Times New Roman"/>
                <w:color w:val="auto"/>
              </w:rPr>
              <w:t>中第Ⅲ阶段的取值，分别取</w:t>
            </w:r>
            <w:r>
              <w:rPr>
                <w:rFonts w:cs="Times New Roman"/>
                <w:color w:val="auto"/>
              </w:rPr>
              <w:t>9.7g/km</w:t>
            </w:r>
            <w:r>
              <w:rPr>
                <w:rFonts w:hint="eastAsia" w:cs="Times New Roman"/>
                <w:color w:val="auto"/>
              </w:rPr>
              <w:t>、</w:t>
            </w:r>
            <w:r>
              <w:rPr>
                <w:rFonts w:cs="Times New Roman"/>
                <w:color w:val="auto"/>
              </w:rPr>
              <w:t>0.41g/km</w:t>
            </w:r>
            <w:r>
              <w:rPr>
                <w:rFonts w:hint="eastAsia" w:cs="Times New Roman"/>
                <w:color w:val="auto"/>
              </w:rPr>
              <w:t>和</w:t>
            </w:r>
            <w:r>
              <w:rPr>
                <w:rFonts w:cs="Times New Roman"/>
                <w:color w:val="auto"/>
              </w:rPr>
              <w:t>0.98g/km</w:t>
            </w:r>
            <w:r>
              <w:rPr>
                <w:rFonts w:hint="eastAsia" w:cs="Times New Roman"/>
                <w:color w:val="auto"/>
              </w:rPr>
              <w:t>。则每天排放的污染物</w:t>
            </w:r>
            <w:r>
              <w:rPr>
                <w:rFonts w:cs="Times New Roman"/>
                <w:color w:val="auto"/>
              </w:rPr>
              <w:t>CO</w:t>
            </w:r>
            <w:r>
              <w:rPr>
                <w:rFonts w:hint="eastAsia" w:cs="Times New Roman"/>
                <w:color w:val="auto"/>
              </w:rPr>
              <w:t>、</w:t>
            </w:r>
            <w:r>
              <w:rPr>
                <w:rFonts w:cs="Times New Roman"/>
                <w:color w:val="auto"/>
              </w:rPr>
              <w:t>THC</w:t>
            </w:r>
            <w:r>
              <w:rPr>
                <w:rFonts w:hint="eastAsia" w:cs="Times New Roman"/>
                <w:color w:val="auto"/>
              </w:rPr>
              <w:t>和</w:t>
            </w:r>
            <w:r>
              <w:rPr>
                <w:rFonts w:cs="Times New Roman"/>
                <w:color w:val="auto"/>
              </w:rPr>
              <w:t>NOx</w:t>
            </w:r>
            <w:r>
              <w:rPr>
                <w:rFonts w:hint="eastAsia" w:cs="Times New Roman"/>
                <w:color w:val="auto"/>
              </w:rPr>
              <w:t>计算结果如下：每车在项目区内平均行驶按50</w:t>
            </w:r>
            <w:r>
              <w:rPr>
                <w:rFonts w:cs="Times New Roman"/>
                <w:color w:val="auto"/>
              </w:rPr>
              <w:t>m</w:t>
            </w:r>
            <w:r>
              <w:rPr>
                <w:rFonts w:hint="eastAsia" w:cs="Times New Roman"/>
                <w:color w:val="auto"/>
              </w:rPr>
              <w:t>计算，计算结果如</w:t>
            </w:r>
            <w:r>
              <w:rPr>
                <w:rFonts w:cs="Times New Roman"/>
                <w:color w:val="auto"/>
              </w:rPr>
              <w:fldChar w:fldCharType="begin"/>
            </w:r>
            <w:r>
              <w:rPr>
                <w:rFonts w:cs="Times New Roman"/>
                <w:color w:val="auto"/>
              </w:rPr>
              <w:instrText xml:space="preserve"> </w:instrText>
            </w:r>
            <w:r>
              <w:rPr>
                <w:rFonts w:hint="eastAsia" w:cs="Times New Roman"/>
                <w:color w:val="auto"/>
              </w:rPr>
              <w:instrText xml:space="preserve">REF _Ref516165409 \h</w:instrText>
            </w:r>
            <w:r>
              <w:rPr>
                <w:rFonts w:cs="Times New Roman"/>
                <w:color w:val="auto"/>
              </w:rPr>
              <w:instrText xml:space="preserve">  \* MERGEFORMAT </w:instrText>
            </w:r>
            <w:r>
              <w:rPr>
                <w:rFonts w:cs="Times New Roman"/>
                <w:color w:val="auto"/>
              </w:rPr>
              <w:fldChar w:fldCharType="separate"/>
            </w:r>
            <w:r>
              <w:rPr>
                <w:rFonts w:cs="Times New Roman"/>
                <w:color w:val="auto"/>
              </w:rPr>
              <w:t>表5-9</w:t>
            </w:r>
            <w:r>
              <w:rPr>
                <w:rFonts w:cs="Times New Roman"/>
                <w:color w:val="auto"/>
              </w:rPr>
              <w:fldChar w:fldCharType="end"/>
            </w:r>
            <w:r>
              <w:rPr>
                <w:rFonts w:hint="eastAsia" w:cs="Times New Roman"/>
                <w:color w:val="auto"/>
              </w:rPr>
              <w:t>所示。汽车</w:t>
            </w:r>
            <w:r>
              <w:rPr>
                <w:rFonts w:hint="eastAsia"/>
                <w:bCs/>
                <w:color w:val="auto"/>
              </w:rPr>
              <w:t>尾气</w:t>
            </w:r>
            <w:r>
              <w:rPr>
                <w:bCs/>
                <w:color w:val="auto"/>
              </w:rPr>
              <w:t>均以无组织形式排放。</w:t>
            </w:r>
          </w:p>
          <w:p>
            <w:pPr>
              <w:spacing w:line="360" w:lineRule="auto"/>
              <w:ind w:firstLine="422" w:firstLineChars="200"/>
              <w:jc w:val="center"/>
              <w:rPr>
                <w:rFonts w:ascii="Times New Roman" w:hAnsi="Times New Roman"/>
                <w:b/>
                <w:bCs/>
              </w:rPr>
            </w:pPr>
            <w:bookmarkStart w:id="59" w:name="_Ref516165409"/>
            <w:r>
              <w:rPr>
                <w:rFonts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SEQ 表5- \* ARABIC </w:instrText>
            </w:r>
            <w:r>
              <w:rPr>
                <w:rFonts w:ascii="Times New Roman" w:hAnsi="Times New Roman" w:cs="Times New Roman"/>
                <w:b/>
                <w:bCs/>
              </w:rPr>
              <w:fldChar w:fldCharType="separate"/>
            </w:r>
            <w:r>
              <w:rPr>
                <w:rFonts w:ascii="Times New Roman" w:hAnsi="Times New Roman" w:cs="Times New Roman"/>
                <w:b/>
                <w:bCs/>
              </w:rPr>
              <w:t>9</w:t>
            </w:r>
            <w:r>
              <w:rPr>
                <w:rFonts w:ascii="Times New Roman" w:hAnsi="Times New Roman" w:cs="Times New Roman"/>
                <w:b/>
                <w:bCs/>
              </w:rPr>
              <w:fldChar w:fldCharType="end"/>
            </w:r>
            <w:bookmarkEnd w:id="59"/>
            <w:r>
              <w:rPr>
                <w:rFonts w:ascii="Times New Roman" w:hAnsi="Times New Roman" w:cs="Times New Roman"/>
                <w:b/>
                <w:bCs/>
              </w:rPr>
              <w:t xml:space="preserve"> </w:t>
            </w:r>
            <w:r>
              <w:rPr>
                <w:rFonts w:ascii="宋体" w:hAnsi="宋体"/>
                <w:b/>
                <w:bCs/>
              </w:rPr>
              <w:t xml:space="preserve">  </w:t>
            </w:r>
            <w:r>
              <w:rPr>
                <w:rFonts w:hint="eastAsia" w:ascii="宋体" w:hAnsi="宋体"/>
                <w:b/>
                <w:bCs/>
              </w:rPr>
              <w:t>营运期汽车尾气产排情况</w:t>
            </w:r>
          </w:p>
          <w:tbl>
            <w:tblPr>
              <w:tblStyle w:val="25"/>
              <w:tblW w:w="8789" w:type="dxa"/>
              <w:tblInd w:w="113" w:type="dxa"/>
              <w:tblLayout w:type="fixed"/>
              <w:tblCellMar>
                <w:top w:w="0" w:type="dxa"/>
                <w:left w:w="108" w:type="dxa"/>
                <w:bottom w:w="0" w:type="dxa"/>
                <w:right w:w="108" w:type="dxa"/>
              </w:tblCellMar>
            </w:tblPr>
            <w:tblGrid>
              <w:gridCol w:w="1158"/>
              <w:gridCol w:w="1276"/>
              <w:gridCol w:w="1523"/>
              <w:gridCol w:w="2162"/>
              <w:gridCol w:w="2670"/>
            </w:tblGrid>
            <w:tr>
              <w:tblPrEx>
                <w:tblLayout w:type="fixed"/>
                <w:tblCellMar>
                  <w:top w:w="0" w:type="dxa"/>
                  <w:left w:w="108" w:type="dxa"/>
                  <w:bottom w:w="0" w:type="dxa"/>
                  <w:right w:w="108" w:type="dxa"/>
                </w:tblCellMar>
              </w:tblPrEx>
              <w:trPr>
                <w:trHeight w:val="397" w:hRule="atLeast"/>
              </w:trPr>
              <w:tc>
                <w:tcPr>
                  <w:tcW w:w="1158" w:type="dxa"/>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w:t>
                  </w:r>
                </w:p>
              </w:tc>
              <w:tc>
                <w:tcPr>
                  <w:tcW w:w="1276" w:type="dxa"/>
                  <w:tcBorders>
                    <w:top w:val="single" w:color="auto" w:sz="4" w:space="0"/>
                    <w:left w:val="nil"/>
                    <w:right w:val="single" w:color="auto" w:sz="4" w:space="0"/>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cs="Times New Roman"/>
                      <w:b/>
                      <w:bCs/>
                      <w:kern w:val="0"/>
                    </w:rPr>
                    <w:t>运输车次</w:t>
                  </w:r>
                </w:p>
              </w:tc>
              <w:tc>
                <w:tcPr>
                  <w:tcW w:w="1523" w:type="dxa"/>
                  <w:tcBorders>
                    <w:top w:val="single" w:color="auto" w:sz="4" w:space="0"/>
                    <w:left w:val="nil"/>
                    <w:right w:val="single" w:color="auto" w:sz="4" w:space="0"/>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行驶距离（m）</w:t>
                  </w:r>
                </w:p>
              </w:tc>
              <w:tc>
                <w:tcPr>
                  <w:tcW w:w="2162" w:type="dxa"/>
                  <w:tcBorders>
                    <w:top w:val="single" w:color="auto" w:sz="4" w:space="0"/>
                    <w:left w:val="nil"/>
                    <w:right w:val="single" w:color="auto" w:sz="4" w:space="0"/>
                  </w:tcBorders>
                  <w:vAlign w:val="center"/>
                </w:tcPr>
                <w:p>
                  <w:pPr>
                    <w:widowControl/>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产污系数（g/km）</w:t>
                  </w:r>
                </w:p>
              </w:tc>
              <w:tc>
                <w:tcPr>
                  <w:tcW w:w="2670" w:type="dxa"/>
                  <w:tcBorders>
                    <w:top w:val="single" w:color="auto" w:sz="4" w:space="0"/>
                    <w:left w:val="nil"/>
                    <w:right w:val="single" w:color="auto" w:sz="4" w:space="0"/>
                  </w:tcBorders>
                  <w:vAlign w:val="center"/>
                </w:tcPr>
                <w:p>
                  <w:pPr>
                    <w:widowControl/>
                    <w:jc w:val="center"/>
                    <w:rPr>
                      <w:rFonts w:ascii="Times New Roman" w:hAnsi="Times New Roman" w:eastAsia="宋体" w:cs="Times New Roman"/>
                      <w:b/>
                      <w:bCs/>
                      <w:kern w:val="0"/>
                      <w:szCs w:val="21"/>
                    </w:rPr>
                  </w:pPr>
                  <w:r>
                    <w:rPr>
                      <w:rFonts w:ascii="Times New Roman" w:hAnsi="Times New Roman" w:cs="Times New Roman"/>
                      <w:b/>
                      <w:bCs/>
                      <w:kern w:val="0"/>
                    </w:rPr>
                    <w:t>无组织排放量（</w:t>
                  </w:r>
                  <w:r>
                    <w:rPr>
                      <w:rFonts w:hint="eastAsia" w:ascii="Times New Roman" w:hAnsi="Times New Roman" w:cs="Times New Roman"/>
                      <w:b/>
                      <w:bCs/>
                      <w:kern w:val="0"/>
                    </w:rPr>
                    <w:t>kg</w:t>
                  </w:r>
                  <w:r>
                    <w:rPr>
                      <w:rFonts w:ascii="Times New Roman" w:hAnsi="Times New Roman" w:cs="Times New Roman"/>
                      <w:b/>
                      <w:bCs/>
                      <w:kern w:val="0"/>
                    </w:rPr>
                    <w:t>/a）</w:t>
                  </w:r>
                </w:p>
              </w:tc>
            </w:tr>
            <w:tr>
              <w:tblPrEx>
                <w:tblLayout w:type="fixed"/>
                <w:tblCellMar>
                  <w:top w:w="0" w:type="dxa"/>
                  <w:left w:w="108" w:type="dxa"/>
                  <w:bottom w:w="0" w:type="dxa"/>
                  <w:right w:w="108" w:type="dxa"/>
                </w:tblCellMar>
              </w:tblPrEx>
              <w:trPr>
                <w:trHeight w:val="397" w:hRule="atLeast"/>
              </w:trPr>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CO</w:t>
                  </w:r>
                </w:p>
              </w:tc>
              <w:tc>
                <w:tcPr>
                  <w:tcW w:w="1276" w:type="dxa"/>
                  <w:vMerge w:val="restart"/>
                  <w:tcBorders>
                    <w:top w:val="single" w:color="auto" w:sz="4" w:space="0"/>
                    <w:left w:val="nil"/>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24000车次</w:t>
                  </w:r>
                </w:p>
              </w:tc>
              <w:tc>
                <w:tcPr>
                  <w:tcW w:w="1523" w:type="dxa"/>
                  <w:vMerge w:val="restart"/>
                  <w:tcBorders>
                    <w:top w:val="single" w:color="auto" w:sz="4" w:space="0"/>
                    <w:left w:val="nil"/>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w:t>
                  </w:r>
                </w:p>
              </w:tc>
              <w:tc>
                <w:tcPr>
                  <w:tcW w:w="216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9.7</w:t>
                  </w:r>
                </w:p>
              </w:tc>
              <w:tc>
                <w:tcPr>
                  <w:tcW w:w="26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11.64</w:t>
                  </w:r>
                </w:p>
              </w:tc>
            </w:tr>
            <w:tr>
              <w:tblPrEx>
                <w:tblLayout w:type="fixed"/>
                <w:tblCellMar>
                  <w:top w:w="0" w:type="dxa"/>
                  <w:left w:w="108" w:type="dxa"/>
                  <w:bottom w:w="0" w:type="dxa"/>
                  <w:right w:w="108" w:type="dxa"/>
                </w:tblCellMar>
              </w:tblPrEx>
              <w:trPr>
                <w:trHeight w:val="397" w:hRule="atLeast"/>
              </w:trPr>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THC</w:t>
                  </w:r>
                </w:p>
              </w:tc>
              <w:tc>
                <w:tcPr>
                  <w:tcW w:w="1276" w:type="dxa"/>
                  <w:vMerge w:val="continue"/>
                  <w:tcBorders>
                    <w:left w:val="nil"/>
                    <w:right w:val="single" w:color="auto" w:sz="4" w:space="0"/>
                  </w:tcBorders>
                  <w:vAlign w:val="center"/>
                </w:tcPr>
                <w:p>
                  <w:pPr>
                    <w:widowControl/>
                    <w:jc w:val="center"/>
                    <w:rPr>
                      <w:rFonts w:ascii="Times New Roman" w:hAnsi="Times New Roman" w:eastAsia="宋体" w:cs="Times New Roman"/>
                      <w:kern w:val="0"/>
                      <w:szCs w:val="21"/>
                    </w:rPr>
                  </w:pPr>
                </w:p>
              </w:tc>
              <w:tc>
                <w:tcPr>
                  <w:tcW w:w="1523" w:type="dxa"/>
                  <w:vMerge w:val="continue"/>
                  <w:tcBorders>
                    <w:left w:val="nil"/>
                    <w:right w:val="single" w:color="auto" w:sz="4" w:space="0"/>
                  </w:tcBorders>
                  <w:vAlign w:val="center"/>
                </w:tcPr>
                <w:p>
                  <w:pPr>
                    <w:widowControl/>
                    <w:jc w:val="center"/>
                    <w:rPr>
                      <w:rFonts w:ascii="Times New Roman" w:hAnsi="Times New Roman" w:eastAsia="宋体" w:cs="Times New Roman"/>
                      <w:kern w:val="0"/>
                      <w:szCs w:val="21"/>
                    </w:rPr>
                  </w:pPr>
                </w:p>
              </w:tc>
              <w:tc>
                <w:tcPr>
                  <w:tcW w:w="216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0.41</w:t>
                  </w:r>
                </w:p>
              </w:tc>
              <w:tc>
                <w:tcPr>
                  <w:tcW w:w="26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0.49</w:t>
                  </w:r>
                </w:p>
              </w:tc>
            </w:tr>
            <w:tr>
              <w:tblPrEx>
                <w:tblLayout w:type="fixed"/>
                <w:tblCellMar>
                  <w:top w:w="0" w:type="dxa"/>
                  <w:left w:w="108" w:type="dxa"/>
                  <w:bottom w:w="0" w:type="dxa"/>
                  <w:right w:w="108" w:type="dxa"/>
                </w:tblCellMar>
              </w:tblPrEx>
              <w:trPr>
                <w:trHeight w:val="397" w:hRule="atLeast"/>
              </w:trPr>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276"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1523"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p>
              </w:tc>
              <w:tc>
                <w:tcPr>
                  <w:tcW w:w="216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0.98</w:t>
                  </w:r>
                </w:p>
              </w:tc>
              <w:tc>
                <w:tcPr>
                  <w:tcW w:w="26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1.18</w:t>
                  </w:r>
                </w:p>
              </w:tc>
            </w:tr>
            <w:bookmarkEnd w:id="53"/>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5.2.2.3营运期噪声污染源分析</w:t>
            </w:r>
          </w:p>
          <w:p>
            <w:pPr>
              <w:pStyle w:val="31"/>
              <w:rPr>
                <w:color w:val="auto"/>
              </w:rPr>
            </w:pPr>
            <w:r>
              <w:rPr>
                <w:rFonts w:hint="eastAsia"/>
                <w:color w:val="auto"/>
              </w:rPr>
              <w:t>本工程噪声主要来源于切割机、磨边机、破碎机、振动筛等各类生产设备，噪声强度在70~114dB(A)。本项目主要通过合理布置设备位置、安装减振垫、厂房和围墙隔声等措施降低营运期噪声影响。</w:t>
            </w:r>
          </w:p>
          <w:p>
            <w:pPr>
              <w:spacing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表5-</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表5-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10</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主要设备噪声源强</w:t>
            </w:r>
          </w:p>
          <w:tbl>
            <w:tblPr>
              <w:tblStyle w:val="25"/>
              <w:tblW w:w="8789" w:type="dxa"/>
              <w:tblInd w:w="0" w:type="dxa"/>
              <w:tblLayout w:type="fixed"/>
              <w:tblCellMar>
                <w:top w:w="0" w:type="dxa"/>
                <w:left w:w="108" w:type="dxa"/>
                <w:bottom w:w="0" w:type="dxa"/>
                <w:right w:w="108" w:type="dxa"/>
              </w:tblCellMar>
            </w:tblPr>
            <w:tblGrid>
              <w:gridCol w:w="1980"/>
              <w:gridCol w:w="1701"/>
              <w:gridCol w:w="1559"/>
              <w:gridCol w:w="1418"/>
              <w:gridCol w:w="2131"/>
            </w:tblGrid>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设备名称</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单台设备声压级dB(A)</w:t>
                  </w:r>
                  <w:r>
                    <w:rPr>
                      <w:rFonts w:ascii="Times New Roman" w:hAnsi="Times New Roman" w:cs="Times New Roman"/>
                      <w:b/>
                      <w:kern w:val="0"/>
                      <w:szCs w:val="21"/>
                    </w:rPr>
                    <w:t xml:space="preserve"> </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数量（台/套）</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排放特征</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降噪措施</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龙门切割机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90～110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红外线切割机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90～100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3</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自动直曲磨边机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90～100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磨光机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85～95</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雕刻机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85～95</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行车</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65～75</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叉车</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70～80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连续</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进料斗</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80～100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破碎机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85～114</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连续</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振动筛</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93～110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连续</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装载机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75～95</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间歇</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限速、禁鸣、管理</w:t>
                  </w:r>
                </w:p>
              </w:tc>
            </w:tr>
            <w:tr>
              <w:tblPrEx>
                <w:tblLayout w:type="fixed"/>
                <w:tblCellMar>
                  <w:top w:w="0" w:type="dxa"/>
                  <w:left w:w="108" w:type="dxa"/>
                  <w:bottom w:w="0" w:type="dxa"/>
                  <w:right w:w="108" w:type="dxa"/>
                </w:tblCellMar>
              </w:tblPrEx>
              <w:trPr>
                <w:trHeight w:val="397" w:hRule="atLeast"/>
              </w:trPr>
              <w:tc>
                <w:tcPr>
                  <w:tcW w:w="1980" w:type="dxa"/>
                  <w:tcBorders>
                    <w:top w:val="single" w:color="auto" w:sz="4" w:space="0"/>
                    <w:left w:val="single" w:color="auto" w:sz="4" w:space="0"/>
                    <w:bottom w:val="single" w:color="auto" w:sz="4" w:space="0"/>
                    <w:right w:val="single" w:color="auto" w:sz="4" w:space="0"/>
                  </w:tcBorders>
                  <w:vAlign w:val="center"/>
                </w:tcPr>
                <w:p>
                  <w:pPr>
                    <w:pStyle w:val="59"/>
                    <w:ind w:firstLine="0" w:firstLineChars="0"/>
                    <w:jc w:val="center"/>
                    <w:rPr>
                      <w:rFonts w:ascii="Times New Roman" w:hAnsi="Times New Roman" w:cstheme="minorBidi"/>
                    </w:rPr>
                  </w:pPr>
                  <w:r>
                    <w:rPr>
                      <w:rFonts w:hint="eastAsia" w:ascii="Times New Roman" w:hAnsi="Times New Roman" w:cstheme="minorBidi"/>
                    </w:rPr>
                    <w:t>除尘系统风机</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80～90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连续</w:t>
                  </w:r>
                </w:p>
              </w:tc>
              <w:tc>
                <w:tcPr>
                  <w:tcW w:w="213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基础减振、隔声</w:t>
                  </w:r>
                </w:p>
              </w:tc>
            </w:tr>
          </w:tbl>
          <w:p>
            <w:pPr>
              <w:spacing w:line="360" w:lineRule="auto"/>
              <w:ind w:firstLine="422" w:firstLineChars="200"/>
              <w:rPr>
                <w:rFonts w:ascii="Times New Roman" w:hAnsi="Times New Roman" w:cs="Times New Roman"/>
                <w:b/>
                <w:sz w:val="24"/>
              </w:rPr>
            </w:pPr>
            <w:r>
              <w:rPr>
                <w:rFonts w:ascii="Times New Roman" w:hAnsi="Times New Roman" w:cs="Times New Roman"/>
                <w:b/>
                <w:szCs w:val="21"/>
              </w:rPr>
              <w:t>数据来源：</w:t>
            </w:r>
            <w:r>
              <w:rPr>
                <w:rFonts w:ascii="Times New Roman" w:hAnsi="Times New Roman" w:cs="Times New Roman"/>
                <w:szCs w:val="21"/>
              </w:rPr>
              <w:t>《噪声控制工程》（高红武主编，2003年7月第一版）</w:t>
            </w:r>
            <w:r>
              <w:rPr>
                <w:rFonts w:hint="eastAsia" w:ascii="Times New Roman" w:hAnsi="Times New Roman" w:cs="Times New Roman"/>
                <w:szCs w:val="21"/>
              </w:rPr>
              <w:t>及生态环境部发布的各行业《污染源源强核算技术指南》</w:t>
            </w:r>
            <w:r>
              <w:rPr>
                <w:rFonts w:ascii="Times New Roman" w:hAnsi="Times New Roman" w:cs="Times New Roman"/>
                <w:szCs w:val="21"/>
              </w:rPr>
              <w:t>；</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5.2.2.4营运期固体废物污染源分析</w:t>
            </w:r>
          </w:p>
          <w:p>
            <w:pPr>
              <w:pStyle w:val="31"/>
              <w:rPr>
                <w:color w:val="auto"/>
              </w:rPr>
            </w:pPr>
            <w:r>
              <w:rPr>
                <w:rFonts w:hint="eastAsia"/>
                <w:color w:val="auto"/>
              </w:rPr>
              <w:t>本项目产生的固体废物主要为一般工业固废、危险废物和生活垃圾。一般固废主要为废水处理泥饼和除尘器粉尘；危险废物主要为废机油、含油抹布及手套。</w:t>
            </w:r>
          </w:p>
          <w:p>
            <w:pPr>
              <w:pStyle w:val="31"/>
              <w:ind w:firstLine="482"/>
              <w:rPr>
                <w:b/>
                <w:color w:val="auto"/>
              </w:rPr>
            </w:pPr>
            <w:r>
              <w:rPr>
                <w:rFonts w:hint="eastAsia"/>
                <w:b/>
                <w:color w:val="auto"/>
              </w:rPr>
              <w:t>（1）一般固废</w:t>
            </w:r>
          </w:p>
          <w:p>
            <w:pPr>
              <w:pStyle w:val="31"/>
              <w:spacing w:line="336" w:lineRule="auto"/>
              <w:rPr>
                <w:color w:val="auto"/>
              </w:rPr>
            </w:pPr>
            <w:r>
              <w:rPr>
                <w:rFonts w:hint="eastAsia"/>
                <w:color w:val="auto"/>
              </w:rPr>
              <w:t>① 沉淀池沉渣（石粉）</w:t>
            </w:r>
          </w:p>
          <w:p>
            <w:pPr>
              <w:pStyle w:val="31"/>
              <w:rPr>
                <w:color w:val="auto"/>
              </w:rPr>
            </w:pPr>
            <w:r>
              <w:rPr>
                <w:rFonts w:hint="eastAsia"/>
                <w:color w:val="auto"/>
              </w:rPr>
              <w:t>本项目生产废水经沉淀处理后会产生沉渣，根据石材加工废水水量和悬浮物浓度核算，沉渣产生量（干基）约420t/a，沉渣的主要成分为石粉。本项目产生的沉渣定期清理，与砂石产品一同出售。</w:t>
            </w:r>
          </w:p>
          <w:p>
            <w:pPr>
              <w:pStyle w:val="31"/>
              <w:spacing w:line="336" w:lineRule="auto"/>
              <w:rPr>
                <w:color w:val="auto"/>
              </w:rPr>
            </w:pPr>
            <w:r>
              <w:rPr>
                <w:rFonts w:hint="eastAsia"/>
                <w:color w:val="auto"/>
              </w:rPr>
              <w:t>② 石材加工边角料</w:t>
            </w:r>
          </w:p>
          <w:p>
            <w:pPr>
              <w:pStyle w:val="31"/>
              <w:spacing w:line="336" w:lineRule="auto"/>
              <w:rPr>
                <w:color w:val="auto"/>
              </w:rPr>
            </w:pPr>
            <w:r>
              <w:rPr>
                <w:rFonts w:hint="eastAsia"/>
                <w:color w:val="auto"/>
              </w:rPr>
              <w:t>石材切割、抛磨等加工工序有一定量的边角料产生，根据同类石材加工企业的统计数据，石材加工的总损耗率在20%～40%之间，本环评按30%计；项目石材荒料用量约27000t/a，扣除切割、抛磨过程中的进入废水中的石粉（420t/a），则边角料产生量约7680t/a。本项目石材加工过程中的边角料转运至砂石生产线用作制砂原料。</w:t>
            </w:r>
          </w:p>
          <w:p>
            <w:pPr>
              <w:pStyle w:val="31"/>
              <w:spacing w:line="336" w:lineRule="auto"/>
              <w:rPr>
                <w:color w:val="auto"/>
              </w:rPr>
            </w:pPr>
            <w:r>
              <w:rPr>
                <w:rFonts w:hint="eastAsia"/>
                <w:color w:val="auto"/>
              </w:rPr>
              <w:t>③ 除尘器收集粉尘</w:t>
            </w:r>
          </w:p>
          <w:p>
            <w:pPr>
              <w:pStyle w:val="31"/>
              <w:spacing w:line="336" w:lineRule="auto"/>
              <w:rPr>
                <w:color w:val="auto"/>
              </w:rPr>
            </w:pPr>
            <w:r>
              <w:rPr>
                <w:rFonts w:hint="eastAsia"/>
                <w:color w:val="auto"/>
              </w:rPr>
              <w:t>根据工程分析，本项目除尘系统收集的粉尘量约为30t/a，该部分固废与泥饼一同外运至砖厂用作制砖原料。</w:t>
            </w:r>
          </w:p>
          <w:p>
            <w:pPr>
              <w:pStyle w:val="31"/>
              <w:ind w:firstLine="482"/>
              <w:rPr>
                <w:b/>
                <w:color w:val="auto"/>
              </w:rPr>
            </w:pPr>
            <w:r>
              <w:rPr>
                <w:rFonts w:hint="eastAsia"/>
                <w:b/>
                <w:color w:val="auto"/>
              </w:rPr>
              <w:t>（2）生活垃圾</w:t>
            </w:r>
          </w:p>
          <w:p>
            <w:pPr>
              <w:pStyle w:val="31"/>
              <w:rPr>
                <w:color w:val="auto"/>
              </w:rPr>
            </w:pPr>
            <w:r>
              <w:rPr>
                <w:rFonts w:hint="eastAsia"/>
                <w:color w:val="auto"/>
              </w:rPr>
              <w:t>项目劳动定员10人，生活垃圾按人均日产生量0.5kg计算，则本项目生活垃圾产生量位1.5t。本项目生活垃圾经集中收集后由环卫部门统一送至垃圾处置场无害化处置，对环境影响轻微。</w:t>
            </w:r>
          </w:p>
          <w:p>
            <w:pPr>
              <w:pStyle w:val="31"/>
              <w:ind w:firstLine="482"/>
              <w:rPr>
                <w:b/>
                <w:color w:val="auto"/>
              </w:rPr>
            </w:pPr>
            <w:r>
              <w:rPr>
                <w:rFonts w:hint="eastAsia"/>
                <w:b/>
                <w:color w:val="auto"/>
              </w:rPr>
              <w:t>（3）危险废物</w:t>
            </w:r>
          </w:p>
          <w:p>
            <w:pPr>
              <w:pStyle w:val="31"/>
              <w:rPr>
                <w:color w:val="auto"/>
              </w:rPr>
            </w:pPr>
            <w:r>
              <w:rPr>
                <w:rFonts w:hint="eastAsia"/>
                <w:color w:val="auto"/>
              </w:rPr>
              <w:t>项目营运过程中机械设备维护和维修过程中有一定量的废机油、含油抹布和手套产生。</w:t>
            </w:r>
          </w:p>
          <w:p>
            <w:pPr>
              <w:pStyle w:val="31"/>
              <w:rPr>
                <w:color w:val="auto"/>
              </w:rPr>
            </w:pPr>
            <w:r>
              <w:rPr>
                <w:rFonts w:hint="eastAsia"/>
                <w:color w:val="auto"/>
              </w:rPr>
              <w:t>查阅环境保护部发布的《国家危险废物名录》（2016版），本项目涉及的危险废物属性如</w:t>
            </w:r>
            <w:r>
              <w:rPr>
                <w:color w:val="auto"/>
              </w:rPr>
              <w:fldChar w:fldCharType="begin"/>
            </w:r>
            <w:r>
              <w:rPr>
                <w:color w:val="auto"/>
              </w:rPr>
              <w:instrText xml:space="preserve"> </w:instrText>
            </w:r>
            <w:r>
              <w:rPr>
                <w:rFonts w:hint="eastAsia"/>
                <w:color w:val="auto"/>
              </w:rPr>
              <w:instrText xml:space="preserve">REF _Ref496359157 \h</w:instrText>
            </w:r>
            <w:r>
              <w:rPr>
                <w:color w:val="auto"/>
              </w:rPr>
              <w:instrText xml:space="preserve">  \* MERGEFORMAT </w:instrText>
            </w:r>
            <w:r>
              <w:rPr>
                <w:color w:val="auto"/>
              </w:rPr>
              <w:fldChar w:fldCharType="separate"/>
            </w:r>
            <w:r>
              <w:rPr>
                <w:color w:val="auto"/>
              </w:rPr>
              <w:t>表5-11</w:t>
            </w:r>
            <w:r>
              <w:rPr>
                <w:color w:val="auto"/>
              </w:rPr>
              <w:fldChar w:fldCharType="end"/>
            </w:r>
            <w:r>
              <w:rPr>
                <w:rFonts w:hint="eastAsia"/>
                <w:color w:val="auto"/>
              </w:rPr>
              <w:t>所示。</w:t>
            </w:r>
          </w:p>
          <w:p>
            <w:pPr>
              <w:pStyle w:val="31"/>
              <w:ind w:firstLine="0" w:firstLineChars="0"/>
              <w:jc w:val="center"/>
              <w:rPr>
                <w:rFonts w:cs="Times New Roman"/>
                <w:b/>
                <w:bCs/>
                <w:color w:val="auto"/>
                <w:sz w:val="21"/>
                <w:szCs w:val="21"/>
              </w:rPr>
            </w:pPr>
            <w:bookmarkStart w:id="60" w:name="_Ref496359157"/>
            <w:r>
              <w:rPr>
                <w:rFonts w:cs="Times New Roman"/>
                <w:b/>
                <w:bCs/>
                <w:color w:val="auto"/>
                <w:sz w:val="21"/>
                <w:szCs w:val="21"/>
              </w:rPr>
              <w:t>表5-</w:t>
            </w:r>
            <w:r>
              <w:rPr>
                <w:rFonts w:cs="Times New Roman"/>
                <w:b/>
                <w:bCs/>
                <w:color w:val="auto"/>
                <w:sz w:val="21"/>
                <w:szCs w:val="21"/>
              </w:rPr>
              <w:fldChar w:fldCharType="begin"/>
            </w:r>
            <w:r>
              <w:rPr>
                <w:rFonts w:cs="Times New Roman"/>
                <w:b/>
                <w:bCs/>
                <w:color w:val="auto"/>
                <w:sz w:val="21"/>
                <w:szCs w:val="21"/>
              </w:rPr>
              <w:instrText xml:space="preserve"> SEQ 表5- \* ARABIC </w:instrText>
            </w:r>
            <w:r>
              <w:rPr>
                <w:rFonts w:cs="Times New Roman"/>
                <w:b/>
                <w:bCs/>
                <w:color w:val="auto"/>
                <w:sz w:val="21"/>
                <w:szCs w:val="21"/>
              </w:rPr>
              <w:fldChar w:fldCharType="separate"/>
            </w:r>
            <w:r>
              <w:rPr>
                <w:rFonts w:cs="Times New Roman"/>
                <w:b/>
                <w:bCs/>
                <w:color w:val="auto"/>
                <w:sz w:val="21"/>
                <w:szCs w:val="21"/>
              </w:rPr>
              <w:t>11</w:t>
            </w:r>
            <w:r>
              <w:rPr>
                <w:rFonts w:cs="Times New Roman"/>
                <w:b/>
                <w:bCs/>
                <w:color w:val="auto"/>
                <w:sz w:val="21"/>
                <w:szCs w:val="21"/>
              </w:rPr>
              <w:fldChar w:fldCharType="end"/>
            </w:r>
            <w:bookmarkEnd w:id="60"/>
            <w:r>
              <w:rPr>
                <w:rFonts w:hint="eastAsia" w:ascii="宋体" w:hAnsi="宋体" w:cs="Times New Roman"/>
                <w:b/>
                <w:bCs/>
                <w:color w:val="auto"/>
                <w:sz w:val="21"/>
                <w:szCs w:val="21"/>
              </w:rPr>
              <w:t>危险废物属性一览表</w:t>
            </w:r>
          </w:p>
          <w:tbl>
            <w:tblPr>
              <w:tblStyle w:val="25"/>
              <w:tblW w:w="8926" w:type="dxa"/>
              <w:tblInd w:w="0" w:type="dxa"/>
              <w:tblLayout w:type="fixed"/>
              <w:tblCellMar>
                <w:top w:w="0" w:type="dxa"/>
                <w:left w:w="0" w:type="dxa"/>
                <w:bottom w:w="0" w:type="dxa"/>
                <w:right w:w="0" w:type="dxa"/>
              </w:tblCellMar>
            </w:tblPr>
            <w:tblGrid>
              <w:gridCol w:w="704"/>
              <w:gridCol w:w="1559"/>
              <w:gridCol w:w="2268"/>
              <w:gridCol w:w="1418"/>
              <w:gridCol w:w="1843"/>
              <w:gridCol w:w="1134"/>
            </w:tblGrid>
            <w:tr>
              <w:tblPrEx>
                <w:tblLayout w:type="fixed"/>
                <w:tblCellMar>
                  <w:top w:w="0" w:type="dxa"/>
                  <w:left w:w="0" w:type="dxa"/>
                  <w:bottom w:w="0" w:type="dxa"/>
                  <w:right w:w="0"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序号</w:t>
                  </w:r>
                </w:p>
              </w:tc>
              <w:tc>
                <w:tcPr>
                  <w:tcW w:w="1559" w:type="dxa"/>
                  <w:tcBorders>
                    <w:top w:val="single" w:color="auto" w:sz="4" w:space="0"/>
                    <w:left w:val="nil"/>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名称</w:t>
                  </w:r>
                </w:p>
              </w:tc>
              <w:tc>
                <w:tcPr>
                  <w:tcW w:w="2268" w:type="dxa"/>
                  <w:tcBorders>
                    <w:top w:val="single" w:color="auto" w:sz="4" w:space="0"/>
                    <w:left w:val="nil"/>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废物类别</w:t>
                  </w:r>
                </w:p>
              </w:tc>
              <w:tc>
                <w:tcPr>
                  <w:tcW w:w="1418" w:type="dxa"/>
                  <w:tcBorders>
                    <w:top w:val="single" w:color="auto" w:sz="4" w:space="0"/>
                    <w:left w:val="nil"/>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行业来源</w:t>
                  </w:r>
                </w:p>
              </w:tc>
              <w:tc>
                <w:tcPr>
                  <w:tcW w:w="1843" w:type="dxa"/>
                  <w:tcBorders>
                    <w:top w:val="single" w:color="auto" w:sz="4" w:space="0"/>
                    <w:left w:val="nil"/>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废物代码</w:t>
                  </w:r>
                </w:p>
              </w:tc>
              <w:tc>
                <w:tcPr>
                  <w:tcW w:w="1134" w:type="dxa"/>
                  <w:tcBorders>
                    <w:top w:val="single" w:color="auto" w:sz="4" w:space="0"/>
                    <w:left w:val="nil"/>
                    <w:bottom w:val="single" w:color="auto" w:sz="4" w:space="0"/>
                    <w:right w:val="single" w:color="auto" w:sz="4" w:space="0"/>
                  </w:tcBorders>
                  <w:vAlign w:val="center"/>
                </w:tcPr>
                <w:p>
                  <w:pPr>
                    <w:pStyle w:val="52"/>
                    <w:kinsoku w:val="0"/>
                    <w:overflowPunct w:val="0"/>
                    <w:jc w:val="center"/>
                    <w:rPr>
                      <w:b/>
                      <w:bCs/>
                      <w:sz w:val="21"/>
                      <w:szCs w:val="21"/>
                    </w:rPr>
                  </w:pPr>
                  <w:r>
                    <w:rPr>
                      <w:rFonts w:hint="eastAsia"/>
                      <w:b/>
                      <w:bCs/>
                      <w:sz w:val="21"/>
                      <w:szCs w:val="21"/>
                    </w:rPr>
                    <w:t>危险特性</w:t>
                  </w:r>
                </w:p>
              </w:tc>
            </w:tr>
            <w:tr>
              <w:tblPrEx>
                <w:tblLayout w:type="fixed"/>
                <w:tblCellMar>
                  <w:top w:w="0" w:type="dxa"/>
                  <w:left w:w="0" w:type="dxa"/>
                  <w:bottom w:w="0" w:type="dxa"/>
                  <w:right w:w="0"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2"/>
                    <w:numPr>
                      <w:ilvl w:val="0"/>
                      <w:numId w:val="10"/>
                    </w:numPr>
                    <w:kinsoku w:val="0"/>
                    <w:overflowPunct w:val="0"/>
                    <w:jc w:val="center"/>
                    <w:rPr>
                      <w:sz w:val="21"/>
                      <w:szCs w:val="21"/>
                    </w:rPr>
                  </w:pPr>
                </w:p>
              </w:tc>
              <w:tc>
                <w:tcPr>
                  <w:tcW w:w="1559"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废机油</w:t>
                  </w:r>
                </w:p>
              </w:tc>
              <w:tc>
                <w:tcPr>
                  <w:tcW w:w="2268"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sz w:val="21"/>
                      <w:szCs w:val="21"/>
                    </w:rPr>
                    <w:t>HW08</w:t>
                  </w:r>
                  <w:r>
                    <w:rPr>
                      <w:rFonts w:hint="eastAsia"/>
                      <w:sz w:val="21"/>
                      <w:szCs w:val="21"/>
                    </w:rPr>
                    <w:t>废矿物油与含矿物油废物</w:t>
                  </w:r>
                </w:p>
              </w:tc>
              <w:tc>
                <w:tcPr>
                  <w:tcW w:w="1418"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非特定行业</w:t>
                  </w:r>
                </w:p>
              </w:tc>
              <w:tc>
                <w:tcPr>
                  <w:tcW w:w="1843"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900-214-08</w:t>
                  </w:r>
                </w:p>
              </w:tc>
              <w:tc>
                <w:tcPr>
                  <w:tcW w:w="1134"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T，I</w:t>
                  </w:r>
                </w:p>
              </w:tc>
            </w:tr>
            <w:tr>
              <w:tblPrEx>
                <w:tblLayout w:type="fixed"/>
                <w:tblCellMar>
                  <w:top w:w="0" w:type="dxa"/>
                  <w:left w:w="0" w:type="dxa"/>
                  <w:bottom w:w="0" w:type="dxa"/>
                  <w:right w:w="0"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2"/>
                    <w:numPr>
                      <w:ilvl w:val="0"/>
                      <w:numId w:val="10"/>
                    </w:numPr>
                    <w:kinsoku w:val="0"/>
                    <w:overflowPunct w:val="0"/>
                    <w:jc w:val="center"/>
                    <w:rPr>
                      <w:sz w:val="21"/>
                      <w:szCs w:val="21"/>
                    </w:rPr>
                  </w:pPr>
                </w:p>
              </w:tc>
              <w:tc>
                <w:tcPr>
                  <w:tcW w:w="1559"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含油抹布和手套</w:t>
                  </w:r>
                </w:p>
              </w:tc>
              <w:tc>
                <w:tcPr>
                  <w:tcW w:w="2268"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HW49其他废物</w:t>
                  </w:r>
                </w:p>
              </w:tc>
              <w:tc>
                <w:tcPr>
                  <w:tcW w:w="1418"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非特定行业</w:t>
                  </w:r>
                </w:p>
              </w:tc>
              <w:tc>
                <w:tcPr>
                  <w:tcW w:w="1843"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rFonts w:hint="eastAsia"/>
                      <w:sz w:val="21"/>
                      <w:szCs w:val="21"/>
                    </w:rPr>
                    <w:t>900-041-49</w:t>
                  </w:r>
                </w:p>
              </w:tc>
              <w:tc>
                <w:tcPr>
                  <w:tcW w:w="1134" w:type="dxa"/>
                  <w:tcBorders>
                    <w:top w:val="single" w:color="auto" w:sz="4" w:space="0"/>
                    <w:left w:val="nil"/>
                    <w:bottom w:val="single" w:color="auto" w:sz="4" w:space="0"/>
                    <w:right w:val="single" w:color="auto" w:sz="4" w:space="0"/>
                  </w:tcBorders>
                  <w:vAlign w:val="center"/>
                </w:tcPr>
                <w:p>
                  <w:pPr>
                    <w:pStyle w:val="52"/>
                    <w:kinsoku w:val="0"/>
                    <w:overflowPunct w:val="0"/>
                    <w:jc w:val="center"/>
                    <w:rPr>
                      <w:sz w:val="21"/>
                      <w:szCs w:val="21"/>
                    </w:rPr>
                  </w:pPr>
                  <w:r>
                    <w:rPr>
                      <w:sz w:val="21"/>
                      <w:szCs w:val="21"/>
                    </w:rPr>
                    <w:t>T</w:t>
                  </w:r>
                </w:p>
              </w:tc>
            </w:tr>
          </w:tbl>
          <w:p>
            <w:pPr>
              <w:pStyle w:val="31"/>
              <w:rPr>
                <w:color w:val="auto"/>
              </w:rPr>
            </w:pPr>
            <w:r>
              <w:rPr>
                <w:rFonts w:hint="eastAsia"/>
                <w:color w:val="auto"/>
              </w:rPr>
              <w:t>②产生量核算</w:t>
            </w:r>
          </w:p>
          <w:p>
            <w:pPr>
              <w:pStyle w:val="31"/>
              <w:rPr>
                <w:color w:val="auto"/>
              </w:rPr>
            </w:pPr>
            <w:r>
              <w:rPr>
                <w:rFonts w:hint="eastAsia"/>
                <w:color w:val="auto"/>
              </w:rPr>
              <w:t>a、废机油：本项目装载机等机械设备的机油需定期由厂家售后服务人员更换，废机油产生量约为0.05t/a。</w:t>
            </w:r>
          </w:p>
          <w:p>
            <w:pPr>
              <w:pStyle w:val="31"/>
              <w:rPr>
                <w:color w:val="auto"/>
              </w:rPr>
            </w:pPr>
            <w:r>
              <w:rPr>
                <w:rFonts w:hint="eastAsia"/>
                <w:color w:val="auto"/>
              </w:rPr>
              <w:t>b、废含油抹布和手套：根据建设单位提供的资料，废含油抹布和手套产生量约0.05t/a。</w:t>
            </w:r>
          </w:p>
          <w:p>
            <w:pPr>
              <w:pStyle w:val="31"/>
              <w:rPr>
                <w:color w:val="auto"/>
              </w:rPr>
            </w:pPr>
            <w:r>
              <w:rPr>
                <w:rFonts w:hint="eastAsia"/>
                <w:color w:val="auto"/>
              </w:rPr>
              <w:t>③污染防治措施</w:t>
            </w:r>
          </w:p>
          <w:p>
            <w:pPr>
              <w:pStyle w:val="31"/>
              <w:rPr>
                <w:color w:val="auto"/>
              </w:rPr>
            </w:pPr>
            <w:r>
              <w:rPr>
                <w:rFonts w:hint="eastAsia"/>
                <w:color w:val="auto"/>
              </w:rPr>
              <w:t>环评要求建设单位在厂区设置一危废暂存间（建议设置在厂区南侧综合楼内），废机油采用专用收集桶分类封装并暂存至危废暂存间，再交由有资质的单位处理。暂存间应按照《危险废物贮存污染控制标准》（GB18597-2001）及2013年修改单相关要求建设，进出口设置0.15m高的门槛，并对内墙体及地面做防腐、防渗措施，避免污染土壤和地下水。</w:t>
            </w:r>
          </w:p>
          <w:p>
            <w:pPr>
              <w:pStyle w:val="31"/>
              <w:rPr>
                <w:color w:val="auto"/>
              </w:rPr>
            </w:pPr>
            <w:r>
              <w:rPr>
                <w:rFonts w:hint="eastAsia"/>
                <w:color w:val="auto"/>
              </w:rPr>
              <w:t>根据《国家危险废物名录》（2016版）附录，废弃的含油抹布和手套属于“危险废物豁免管理清单”中的类别（900-041-49），全过程不按危险废物管理，可混入生活垃圾一同交由环卫部门处理。</w:t>
            </w:r>
          </w:p>
          <w:p>
            <w:pPr>
              <w:pStyle w:val="31"/>
              <w:rPr>
                <w:color w:val="auto"/>
              </w:rPr>
            </w:pPr>
          </w:p>
          <w:p>
            <w:pPr>
              <w:pStyle w:val="58"/>
              <w:ind w:firstLine="422"/>
              <w:jc w:val="center"/>
            </w:pPr>
            <w:r>
              <w:rPr>
                <w:b/>
                <w:bCs/>
              </w:rPr>
              <w:t>表5-</w:t>
            </w:r>
            <w:r>
              <w:rPr>
                <w:b/>
                <w:bCs/>
              </w:rPr>
              <w:fldChar w:fldCharType="begin"/>
            </w:r>
            <w:r>
              <w:rPr>
                <w:b/>
                <w:bCs/>
              </w:rPr>
              <w:instrText xml:space="preserve"> SEQ 表5- \* ARABIC </w:instrText>
            </w:r>
            <w:r>
              <w:rPr>
                <w:b/>
                <w:bCs/>
              </w:rPr>
              <w:fldChar w:fldCharType="separate"/>
            </w:r>
            <w:r>
              <w:rPr>
                <w:b/>
                <w:bCs/>
              </w:rPr>
              <w:t>12</w:t>
            </w:r>
            <w:r>
              <w:rPr>
                <w:b/>
                <w:bCs/>
              </w:rPr>
              <w:fldChar w:fldCharType="end"/>
            </w:r>
            <w:r>
              <w:rPr>
                <w:rFonts w:hint="eastAsia" w:ascii="宋体" w:hAnsi="宋体"/>
                <w:b/>
                <w:bCs/>
              </w:rPr>
              <w:t>危险废物汇总表</w:t>
            </w:r>
          </w:p>
          <w:tbl>
            <w:tblPr>
              <w:tblStyle w:val="25"/>
              <w:tblW w:w="8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850"/>
              <w:gridCol w:w="992"/>
              <w:gridCol w:w="1134"/>
              <w:gridCol w:w="945"/>
              <w:gridCol w:w="945"/>
              <w:gridCol w:w="945"/>
              <w:gridCol w:w="870"/>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842" w:type="dxa"/>
                  <w:vAlign w:val="center"/>
                </w:tcPr>
                <w:p>
                  <w:pPr>
                    <w:pStyle w:val="52"/>
                    <w:kinsoku w:val="0"/>
                    <w:overflowPunct w:val="0"/>
                    <w:jc w:val="center"/>
                    <w:rPr>
                      <w:b/>
                      <w:bCs/>
                      <w:sz w:val="21"/>
                      <w:szCs w:val="21"/>
                    </w:rPr>
                  </w:pPr>
                  <w:r>
                    <w:rPr>
                      <w:rFonts w:hint="eastAsia"/>
                      <w:b/>
                      <w:bCs/>
                      <w:sz w:val="21"/>
                      <w:szCs w:val="21"/>
                    </w:rPr>
                    <w:t>序号</w:t>
                  </w:r>
                </w:p>
              </w:tc>
              <w:tc>
                <w:tcPr>
                  <w:tcW w:w="850" w:type="dxa"/>
                  <w:vAlign w:val="center"/>
                </w:tcPr>
                <w:p>
                  <w:pPr>
                    <w:pStyle w:val="52"/>
                    <w:kinsoku w:val="0"/>
                    <w:overflowPunct w:val="0"/>
                    <w:jc w:val="center"/>
                    <w:rPr>
                      <w:b/>
                      <w:bCs/>
                      <w:sz w:val="21"/>
                      <w:szCs w:val="21"/>
                    </w:rPr>
                  </w:pPr>
                  <w:r>
                    <w:rPr>
                      <w:rFonts w:hint="eastAsia"/>
                      <w:b/>
                      <w:bCs/>
                      <w:sz w:val="21"/>
                      <w:szCs w:val="21"/>
                    </w:rPr>
                    <w:t>危险废物名称</w:t>
                  </w:r>
                </w:p>
              </w:tc>
              <w:tc>
                <w:tcPr>
                  <w:tcW w:w="992" w:type="dxa"/>
                  <w:vAlign w:val="center"/>
                </w:tcPr>
                <w:p>
                  <w:pPr>
                    <w:pStyle w:val="52"/>
                    <w:kinsoku w:val="0"/>
                    <w:overflowPunct w:val="0"/>
                    <w:jc w:val="center"/>
                    <w:rPr>
                      <w:b/>
                      <w:bCs/>
                      <w:sz w:val="21"/>
                      <w:szCs w:val="21"/>
                    </w:rPr>
                  </w:pPr>
                  <w:r>
                    <w:rPr>
                      <w:rFonts w:hint="eastAsia"/>
                      <w:b/>
                      <w:bCs/>
                      <w:sz w:val="21"/>
                      <w:szCs w:val="21"/>
                    </w:rPr>
                    <w:t>废物类别</w:t>
                  </w:r>
                </w:p>
              </w:tc>
              <w:tc>
                <w:tcPr>
                  <w:tcW w:w="1134" w:type="dxa"/>
                  <w:vAlign w:val="center"/>
                </w:tcPr>
                <w:p>
                  <w:pPr>
                    <w:pStyle w:val="52"/>
                    <w:kinsoku w:val="0"/>
                    <w:overflowPunct w:val="0"/>
                    <w:jc w:val="center"/>
                    <w:rPr>
                      <w:b/>
                      <w:bCs/>
                      <w:sz w:val="21"/>
                      <w:szCs w:val="21"/>
                    </w:rPr>
                  </w:pPr>
                  <w:r>
                    <w:rPr>
                      <w:rFonts w:hint="eastAsia"/>
                      <w:b/>
                      <w:bCs/>
                      <w:sz w:val="21"/>
                      <w:szCs w:val="21"/>
                    </w:rPr>
                    <w:t>废物代码</w:t>
                  </w:r>
                </w:p>
              </w:tc>
              <w:tc>
                <w:tcPr>
                  <w:tcW w:w="945" w:type="dxa"/>
                  <w:vAlign w:val="center"/>
                </w:tcPr>
                <w:p>
                  <w:pPr>
                    <w:pStyle w:val="52"/>
                    <w:kinsoku w:val="0"/>
                    <w:overflowPunct w:val="0"/>
                    <w:jc w:val="center"/>
                    <w:rPr>
                      <w:b/>
                      <w:bCs/>
                      <w:sz w:val="21"/>
                      <w:szCs w:val="21"/>
                    </w:rPr>
                  </w:pPr>
                  <w:r>
                    <w:rPr>
                      <w:rFonts w:hint="eastAsia"/>
                      <w:b/>
                      <w:bCs/>
                      <w:sz w:val="21"/>
                      <w:szCs w:val="21"/>
                    </w:rPr>
                    <w:t>产生量</w:t>
                  </w:r>
                </w:p>
              </w:tc>
              <w:tc>
                <w:tcPr>
                  <w:tcW w:w="945" w:type="dxa"/>
                  <w:vAlign w:val="center"/>
                </w:tcPr>
                <w:p>
                  <w:pPr>
                    <w:pStyle w:val="52"/>
                    <w:kinsoku w:val="0"/>
                    <w:overflowPunct w:val="0"/>
                    <w:jc w:val="center"/>
                    <w:rPr>
                      <w:b/>
                      <w:bCs/>
                      <w:sz w:val="21"/>
                      <w:szCs w:val="21"/>
                    </w:rPr>
                  </w:pPr>
                  <w:r>
                    <w:rPr>
                      <w:rFonts w:hint="eastAsia"/>
                      <w:b/>
                      <w:bCs/>
                      <w:sz w:val="21"/>
                      <w:szCs w:val="21"/>
                    </w:rPr>
                    <w:t>产生工序及装置</w:t>
                  </w:r>
                </w:p>
              </w:tc>
              <w:tc>
                <w:tcPr>
                  <w:tcW w:w="945" w:type="dxa"/>
                  <w:vAlign w:val="center"/>
                </w:tcPr>
                <w:p>
                  <w:pPr>
                    <w:pStyle w:val="52"/>
                    <w:kinsoku w:val="0"/>
                    <w:overflowPunct w:val="0"/>
                    <w:jc w:val="center"/>
                    <w:rPr>
                      <w:b/>
                      <w:bCs/>
                      <w:sz w:val="21"/>
                      <w:szCs w:val="21"/>
                    </w:rPr>
                  </w:pPr>
                  <w:r>
                    <w:rPr>
                      <w:rFonts w:hint="eastAsia"/>
                      <w:b/>
                      <w:bCs/>
                      <w:sz w:val="21"/>
                      <w:szCs w:val="21"/>
                    </w:rPr>
                    <w:t>有害成分</w:t>
                  </w:r>
                </w:p>
              </w:tc>
              <w:tc>
                <w:tcPr>
                  <w:tcW w:w="870" w:type="dxa"/>
                  <w:vAlign w:val="center"/>
                </w:tcPr>
                <w:p>
                  <w:pPr>
                    <w:pStyle w:val="52"/>
                    <w:kinsoku w:val="0"/>
                    <w:overflowPunct w:val="0"/>
                    <w:jc w:val="center"/>
                    <w:rPr>
                      <w:b/>
                      <w:bCs/>
                      <w:sz w:val="21"/>
                      <w:szCs w:val="21"/>
                    </w:rPr>
                  </w:pPr>
                  <w:r>
                    <w:rPr>
                      <w:rFonts w:hint="eastAsia"/>
                      <w:b/>
                      <w:bCs/>
                      <w:sz w:val="21"/>
                      <w:szCs w:val="21"/>
                    </w:rPr>
                    <w:t>危险特性</w:t>
                  </w:r>
                </w:p>
              </w:tc>
              <w:tc>
                <w:tcPr>
                  <w:tcW w:w="1235" w:type="dxa"/>
                  <w:vAlign w:val="center"/>
                </w:tcPr>
                <w:p>
                  <w:pPr>
                    <w:pStyle w:val="52"/>
                    <w:kinsoku w:val="0"/>
                    <w:overflowPunct w:val="0"/>
                    <w:jc w:val="center"/>
                    <w:rPr>
                      <w:b/>
                      <w:bCs/>
                      <w:sz w:val="21"/>
                      <w:szCs w:val="21"/>
                    </w:rPr>
                  </w:pPr>
                  <w:r>
                    <w:rPr>
                      <w:rFonts w:hint="eastAsia"/>
                      <w:b/>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842" w:type="dxa"/>
                  <w:vAlign w:val="center"/>
                </w:tcPr>
                <w:p>
                  <w:pPr>
                    <w:pStyle w:val="52"/>
                    <w:numPr>
                      <w:ilvl w:val="0"/>
                      <w:numId w:val="11"/>
                    </w:numPr>
                    <w:kinsoku w:val="0"/>
                    <w:overflowPunct w:val="0"/>
                    <w:ind w:left="0" w:firstLine="0"/>
                    <w:jc w:val="center"/>
                    <w:rPr>
                      <w:sz w:val="21"/>
                      <w:szCs w:val="21"/>
                    </w:rPr>
                  </w:pPr>
                </w:p>
              </w:tc>
              <w:tc>
                <w:tcPr>
                  <w:tcW w:w="850" w:type="dxa"/>
                  <w:vAlign w:val="center"/>
                </w:tcPr>
                <w:p>
                  <w:pPr>
                    <w:pStyle w:val="52"/>
                    <w:kinsoku w:val="0"/>
                    <w:overflowPunct w:val="0"/>
                    <w:jc w:val="center"/>
                    <w:rPr>
                      <w:sz w:val="21"/>
                      <w:szCs w:val="21"/>
                    </w:rPr>
                  </w:pPr>
                  <w:r>
                    <w:rPr>
                      <w:rFonts w:hint="eastAsia"/>
                      <w:sz w:val="21"/>
                      <w:szCs w:val="21"/>
                    </w:rPr>
                    <w:t>废机油</w:t>
                  </w:r>
                </w:p>
              </w:tc>
              <w:tc>
                <w:tcPr>
                  <w:tcW w:w="992" w:type="dxa"/>
                  <w:vAlign w:val="center"/>
                </w:tcPr>
                <w:p>
                  <w:pPr>
                    <w:pStyle w:val="52"/>
                    <w:kinsoku w:val="0"/>
                    <w:overflowPunct w:val="0"/>
                    <w:jc w:val="center"/>
                    <w:rPr>
                      <w:sz w:val="21"/>
                      <w:szCs w:val="21"/>
                    </w:rPr>
                  </w:pPr>
                  <w:r>
                    <w:rPr>
                      <w:sz w:val="21"/>
                      <w:szCs w:val="21"/>
                    </w:rPr>
                    <w:t>HW08</w:t>
                  </w:r>
                  <w:r>
                    <w:rPr>
                      <w:rFonts w:hint="eastAsia"/>
                      <w:sz w:val="21"/>
                      <w:szCs w:val="21"/>
                    </w:rPr>
                    <w:t>废矿物油与含矿物油废物</w:t>
                  </w:r>
                </w:p>
              </w:tc>
              <w:tc>
                <w:tcPr>
                  <w:tcW w:w="1134" w:type="dxa"/>
                  <w:vAlign w:val="center"/>
                </w:tcPr>
                <w:p>
                  <w:pPr>
                    <w:pStyle w:val="52"/>
                    <w:kinsoku w:val="0"/>
                    <w:overflowPunct w:val="0"/>
                    <w:jc w:val="center"/>
                    <w:rPr>
                      <w:sz w:val="21"/>
                      <w:szCs w:val="21"/>
                    </w:rPr>
                  </w:pPr>
                  <w:r>
                    <w:rPr>
                      <w:rFonts w:hint="eastAsia"/>
                      <w:sz w:val="21"/>
                      <w:szCs w:val="21"/>
                    </w:rPr>
                    <w:t>900-214-08</w:t>
                  </w:r>
                </w:p>
              </w:tc>
              <w:tc>
                <w:tcPr>
                  <w:tcW w:w="945" w:type="dxa"/>
                  <w:vAlign w:val="center"/>
                </w:tcPr>
                <w:p>
                  <w:pPr>
                    <w:pStyle w:val="52"/>
                    <w:kinsoku w:val="0"/>
                    <w:overflowPunct w:val="0"/>
                    <w:jc w:val="center"/>
                    <w:rPr>
                      <w:sz w:val="21"/>
                      <w:szCs w:val="21"/>
                    </w:rPr>
                  </w:pPr>
                  <w:r>
                    <w:rPr>
                      <w:rFonts w:hint="eastAsia"/>
                      <w:sz w:val="21"/>
                      <w:szCs w:val="21"/>
                    </w:rPr>
                    <w:t>0.05t/a</w:t>
                  </w:r>
                </w:p>
              </w:tc>
              <w:tc>
                <w:tcPr>
                  <w:tcW w:w="945" w:type="dxa"/>
                  <w:vAlign w:val="center"/>
                </w:tcPr>
                <w:p>
                  <w:pPr>
                    <w:pStyle w:val="52"/>
                    <w:kinsoku w:val="0"/>
                    <w:overflowPunct w:val="0"/>
                    <w:jc w:val="center"/>
                    <w:rPr>
                      <w:sz w:val="21"/>
                      <w:szCs w:val="21"/>
                    </w:rPr>
                  </w:pPr>
                  <w:r>
                    <w:rPr>
                      <w:rFonts w:hint="eastAsia"/>
                      <w:sz w:val="21"/>
                      <w:szCs w:val="21"/>
                    </w:rPr>
                    <w:t>设备维修、维护</w:t>
                  </w:r>
                </w:p>
              </w:tc>
              <w:tc>
                <w:tcPr>
                  <w:tcW w:w="945" w:type="dxa"/>
                  <w:vAlign w:val="center"/>
                </w:tcPr>
                <w:p>
                  <w:pPr>
                    <w:pStyle w:val="52"/>
                    <w:kinsoku w:val="0"/>
                    <w:overflowPunct w:val="0"/>
                    <w:jc w:val="center"/>
                    <w:rPr>
                      <w:sz w:val="21"/>
                      <w:szCs w:val="21"/>
                    </w:rPr>
                  </w:pPr>
                  <w:r>
                    <w:rPr>
                      <w:rFonts w:hint="eastAsia"/>
                      <w:sz w:val="21"/>
                      <w:szCs w:val="21"/>
                    </w:rPr>
                    <w:t>矿物油</w:t>
                  </w:r>
                </w:p>
              </w:tc>
              <w:tc>
                <w:tcPr>
                  <w:tcW w:w="870" w:type="dxa"/>
                  <w:vAlign w:val="center"/>
                </w:tcPr>
                <w:p>
                  <w:pPr>
                    <w:pStyle w:val="52"/>
                    <w:kinsoku w:val="0"/>
                    <w:overflowPunct w:val="0"/>
                    <w:jc w:val="center"/>
                    <w:rPr>
                      <w:sz w:val="21"/>
                      <w:szCs w:val="21"/>
                    </w:rPr>
                  </w:pPr>
                  <w:r>
                    <w:rPr>
                      <w:rFonts w:hint="eastAsia"/>
                      <w:sz w:val="21"/>
                      <w:szCs w:val="21"/>
                    </w:rPr>
                    <w:t>T，I</w:t>
                  </w:r>
                </w:p>
              </w:tc>
              <w:tc>
                <w:tcPr>
                  <w:tcW w:w="1235" w:type="dxa"/>
                  <w:vAlign w:val="center"/>
                </w:tcPr>
                <w:p>
                  <w:pPr>
                    <w:pStyle w:val="52"/>
                    <w:kinsoku w:val="0"/>
                    <w:overflowPunct w:val="0"/>
                    <w:jc w:val="center"/>
                    <w:rPr>
                      <w:sz w:val="21"/>
                      <w:szCs w:val="21"/>
                    </w:rPr>
                  </w:pPr>
                  <w:r>
                    <w:rPr>
                      <w:rFonts w:hint="eastAsia"/>
                      <w:sz w:val="21"/>
                      <w:szCs w:val="21"/>
                    </w:rPr>
                    <w:t>危废间暂存，定期交由有资质单位处置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842" w:type="dxa"/>
                  <w:vAlign w:val="center"/>
                </w:tcPr>
                <w:p>
                  <w:pPr>
                    <w:pStyle w:val="52"/>
                    <w:numPr>
                      <w:ilvl w:val="0"/>
                      <w:numId w:val="11"/>
                    </w:numPr>
                    <w:kinsoku w:val="0"/>
                    <w:overflowPunct w:val="0"/>
                    <w:ind w:left="0" w:firstLine="0"/>
                    <w:jc w:val="center"/>
                    <w:rPr>
                      <w:sz w:val="21"/>
                      <w:szCs w:val="21"/>
                    </w:rPr>
                  </w:pPr>
                </w:p>
              </w:tc>
              <w:tc>
                <w:tcPr>
                  <w:tcW w:w="850" w:type="dxa"/>
                  <w:vAlign w:val="center"/>
                </w:tcPr>
                <w:p>
                  <w:pPr>
                    <w:pStyle w:val="52"/>
                    <w:kinsoku w:val="0"/>
                    <w:overflowPunct w:val="0"/>
                    <w:jc w:val="center"/>
                    <w:rPr>
                      <w:sz w:val="21"/>
                      <w:szCs w:val="21"/>
                    </w:rPr>
                  </w:pPr>
                  <w:r>
                    <w:rPr>
                      <w:rFonts w:hint="eastAsia"/>
                      <w:sz w:val="21"/>
                      <w:szCs w:val="21"/>
                    </w:rPr>
                    <w:t>含油抹布及手套</w:t>
                  </w:r>
                </w:p>
              </w:tc>
              <w:tc>
                <w:tcPr>
                  <w:tcW w:w="992" w:type="dxa"/>
                  <w:vAlign w:val="center"/>
                </w:tcPr>
                <w:p>
                  <w:pPr>
                    <w:pStyle w:val="52"/>
                    <w:kinsoku w:val="0"/>
                    <w:overflowPunct w:val="0"/>
                    <w:jc w:val="center"/>
                    <w:rPr>
                      <w:sz w:val="21"/>
                      <w:szCs w:val="21"/>
                    </w:rPr>
                  </w:pPr>
                  <w:r>
                    <w:rPr>
                      <w:rFonts w:hint="eastAsia"/>
                      <w:sz w:val="21"/>
                      <w:szCs w:val="21"/>
                    </w:rPr>
                    <w:t>HW49其他废物</w:t>
                  </w:r>
                </w:p>
              </w:tc>
              <w:tc>
                <w:tcPr>
                  <w:tcW w:w="1134" w:type="dxa"/>
                  <w:vAlign w:val="center"/>
                </w:tcPr>
                <w:p>
                  <w:pPr>
                    <w:pStyle w:val="52"/>
                    <w:kinsoku w:val="0"/>
                    <w:overflowPunct w:val="0"/>
                    <w:jc w:val="center"/>
                    <w:rPr>
                      <w:sz w:val="21"/>
                      <w:szCs w:val="21"/>
                    </w:rPr>
                  </w:pPr>
                  <w:r>
                    <w:rPr>
                      <w:rFonts w:hint="eastAsia"/>
                      <w:sz w:val="21"/>
                      <w:szCs w:val="21"/>
                    </w:rPr>
                    <w:t>900-041-49</w:t>
                  </w:r>
                </w:p>
              </w:tc>
              <w:tc>
                <w:tcPr>
                  <w:tcW w:w="945" w:type="dxa"/>
                  <w:vAlign w:val="center"/>
                </w:tcPr>
                <w:p>
                  <w:pPr>
                    <w:pStyle w:val="52"/>
                    <w:kinsoku w:val="0"/>
                    <w:overflowPunct w:val="0"/>
                    <w:jc w:val="center"/>
                    <w:rPr>
                      <w:sz w:val="21"/>
                      <w:szCs w:val="21"/>
                    </w:rPr>
                  </w:pPr>
                  <w:r>
                    <w:rPr>
                      <w:rFonts w:hint="eastAsia"/>
                      <w:sz w:val="21"/>
                      <w:szCs w:val="21"/>
                    </w:rPr>
                    <w:t>0.05t/a</w:t>
                  </w:r>
                </w:p>
              </w:tc>
              <w:tc>
                <w:tcPr>
                  <w:tcW w:w="945" w:type="dxa"/>
                  <w:vAlign w:val="center"/>
                </w:tcPr>
                <w:p>
                  <w:pPr>
                    <w:pStyle w:val="52"/>
                    <w:kinsoku w:val="0"/>
                    <w:overflowPunct w:val="0"/>
                    <w:jc w:val="center"/>
                    <w:rPr>
                      <w:sz w:val="21"/>
                      <w:szCs w:val="21"/>
                    </w:rPr>
                  </w:pPr>
                  <w:r>
                    <w:rPr>
                      <w:rFonts w:hint="eastAsia"/>
                      <w:sz w:val="21"/>
                      <w:szCs w:val="21"/>
                    </w:rPr>
                    <w:t>设备维修、维护</w:t>
                  </w:r>
                </w:p>
              </w:tc>
              <w:tc>
                <w:tcPr>
                  <w:tcW w:w="945" w:type="dxa"/>
                  <w:vAlign w:val="center"/>
                </w:tcPr>
                <w:p>
                  <w:pPr>
                    <w:pStyle w:val="52"/>
                    <w:kinsoku w:val="0"/>
                    <w:overflowPunct w:val="0"/>
                    <w:jc w:val="center"/>
                    <w:rPr>
                      <w:sz w:val="21"/>
                      <w:szCs w:val="21"/>
                    </w:rPr>
                  </w:pPr>
                  <w:r>
                    <w:rPr>
                      <w:rFonts w:hint="eastAsia"/>
                      <w:sz w:val="21"/>
                      <w:szCs w:val="21"/>
                    </w:rPr>
                    <w:t>矿物油</w:t>
                  </w:r>
                </w:p>
              </w:tc>
              <w:tc>
                <w:tcPr>
                  <w:tcW w:w="870" w:type="dxa"/>
                  <w:vAlign w:val="center"/>
                </w:tcPr>
                <w:p>
                  <w:pPr>
                    <w:pStyle w:val="52"/>
                    <w:kinsoku w:val="0"/>
                    <w:overflowPunct w:val="0"/>
                    <w:jc w:val="center"/>
                    <w:rPr>
                      <w:sz w:val="21"/>
                      <w:szCs w:val="21"/>
                    </w:rPr>
                  </w:pPr>
                  <w:r>
                    <w:rPr>
                      <w:sz w:val="21"/>
                      <w:szCs w:val="21"/>
                    </w:rPr>
                    <w:t>T/In</w:t>
                  </w:r>
                </w:p>
              </w:tc>
              <w:tc>
                <w:tcPr>
                  <w:tcW w:w="1235" w:type="dxa"/>
                  <w:vAlign w:val="center"/>
                </w:tcPr>
                <w:p>
                  <w:pPr>
                    <w:pStyle w:val="52"/>
                    <w:kinsoku w:val="0"/>
                    <w:overflowPunct w:val="0"/>
                    <w:jc w:val="center"/>
                    <w:rPr>
                      <w:sz w:val="21"/>
                      <w:szCs w:val="21"/>
                    </w:rPr>
                  </w:pPr>
                  <w:r>
                    <w:rPr>
                      <w:rFonts w:hint="eastAsia"/>
                      <w:sz w:val="21"/>
                      <w:szCs w:val="21"/>
                    </w:rPr>
                    <w:t>属于豁免管理的危险废物，与生活垃圾一道处置</w:t>
                  </w:r>
                </w:p>
              </w:tc>
            </w:tr>
          </w:tbl>
          <w:p>
            <w:pPr>
              <w:pStyle w:val="31"/>
              <w:rPr>
                <w:color w:val="auto"/>
              </w:rPr>
            </w:pPr>
          </w:p>
        </w:tc>
      </w:tr>
    </w:tbl>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p>
      <w:pPr>
        <w:pStyle w:val="2"/>
      </w:pPr>
      <w:bookmarkStart w:id="61" w:name="_Toc7464060"/>
      <w:bookmarkStart w:id="62" w:name="_Toc10875"/>
      <w:bookmarkStart w:id="63" w:name="_Toc11264"/>
      <w:r>
        <w:t>六、项目主要污染物产生及预计排放情况</w:t>
      </w:r>
      <w:bookmarkEnd w:id="61"/>
      <w:bookmarkEnd w:id="62"/>
      <w:bookmarkEnd w:id="63"/>
    </w:p>
    <w:tbl>
      <w:tblPr>
        <w:tblStyle w:val="25"/>
        <w:tblW w:w="928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31"/>
        <w:gridCol w:w="1871"/>
        <w:gridCol w:w="1134"/>
        <w:gridCol w:w="1417"/>
        <w:gridCol w:w="1276"/>
        <w:gridCol w:w="1399"/>
        <w:gridCol w:w="12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4" w:hRule="atLeast"/>
          <w:jc w:val="center"/>
        </w:trPr>
        <w:tc>
          <w:tcPr>
            <w:tcW w:w="931" w:type="dxa"/>
            <w:tcBorders>
              <w:top w:val="single" w:color="auto" w:sz="12" w:space="0"/>
              <w:left w:val="single" w:color="auto" w:sz="12" w:space="0"/>
              <w:tl2br w:val="single" w:color="auto" w:sz="4" w:space="0"/>
              <w:tr2bl w:val="nil"/>
            </w:tcBorders>
          </w:tcPr>
          <w:p>
            <w:pPr>
              <w:snapToGrid w:val="0"/>
              <w:jc w:val="center"/>
              <w:rPr>
                <w:rFonts w:ascii="Times New Roman" w:hAnsi="Times New Roman" w:cs="Times New Roman"/>
                <w:bCs/>
                <w:szCs w:val="21"/>
              </w:rPr>
            </w:pPr>
            <w:r>
              <w:rPr>
                <w:rFonts w:ascii="Times New Roman" w:hAnsi="Times New Roman" w:cs="Times New Roman"/>
                <w:bCs/>
                <w:szCs w:val="21"/>
              </w:rPr>
              <w:t>类</w:t>
            </w:r>
          </w:p>
          <w:p>
            <w:pPr>
              <w:snapToGrid w:val="0"/>
              <w:jc w:val="right"/>
              <w:rPr>
                <w:rFonts w:ascii="Times New Roman" w:hAnsi="Times New Roman" w:cs="Times New Roman"/>
                <w:bCs/>
                <w:szCs w:val="21"/>
              </w:rPr>
            </w:pPr>
            <w:r>
              <w:rPr>
                <w:rFonts w:ascii="Times New Roman" w:hAnsi="Times New Roman" w:cs="Times New Roman"/>
                <w:bCs/>
                <w:szCs w:val="21"/>
              </w:rPr>
              <w:t>型</w:t>
            </w:r>
          </w:p>
          <w:p>
            <w:pPr>
              <w:snapToGrid w:val="0"/>
              <w:rPr>
                <w:rFonts w:ascii="Times New Roman" w:hAnsi="Times New Roman" w:cs="Times New Roman"/>
                <w:bCs/>
                <w:szCs w:val="21"/>
              </w:rPr>
            </w:pPr>
            <w:r>
              <w:rPr>
                <w:rFonts w:ascii="Times New Roman" w:hAnsi="Times New Roman" w:cs="Times New Roman"/>
                <w:bCs/>
                <w:szCs w:val="21"/>
              </w:rPr>
              <w:t>内</w:t>
            </w:r>
          </w:p>
          <w:p>
            <w:pPr>
              <w:snapToGrid w:val="0"/>
              <w:jc w:val="center"/>
              <w:rPr>
                <w:rFonts w:ascii="Times New Roman" w:hAnsi="Times New Roman" w:cs="Times New Roman"/>
                <w:bCs/>
                <w:szCs w:val="21"/>
              </w:rPr>
            </w:pPr>
            <w:r>
              <w:rPr>
                <w:rFonts w:ascii="Times New Roman" w:hAnsi="Times New Roman" w:cs="Times New Roman"/>
                <w:bCs/>
                <w:szCs w:val="21"/>
              </w:rPr>
              <w:t>容</w:t>
            </w:r>
          </w:p>
        </w:tc>
        <w:tc>
          <w:tcPr>
            <w:tcW w:w="1871" w:type="dxa"/>
            <w:tcBorders>
              <w:top w:val="single" w:color="auto" w:sz="12" w:space="0"/>
              <w:tl2br w:val="nil"/>
              <w:tr2bl w:val="nil"/>
            </w:tcBorders>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排放源</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(编号)</w:t>
            </w:r>
          </w:p>
        </w:tc>
        <w:tc>
          <w:tcPr>
            <w:tcW w:w="1134" w:type="dxa"/>
            <w:tcBorders>
              <w:top w:val="single" w:color="auto" w:sz="12" w:space="0"/>
              <w:tl2br w:val="nil"/>
              <w:tr2bl w:val="nil"/>
            </w:tcBorders>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污染物</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名称</w:t>
            </w:r>
          </w:p>
        </w:tc>
        <w:tc>
          <w:tcPr>
            <w:tcW w:w="2693" w:type="dxa"/>
            <w:gridSpan w:val="2"/>
            <w:tcBorders>
              <w:top w:val="single" w:color="auto" w:sz="12" w:space="0"/>
              <w:tl2br w:val="nil"/>
              <w:tr2bl w:val="nil"/>
            </w:tcBorders>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处理前产生浓度及产生量(单位)</w:t>
            </w:r>
          </w:p>
        </w:tc>
        <w:tc>
          <w:tcPr>
            <w:tcW w:w="2657" w:type="dxa"/>
            <w:gridSpan w:val="2"/>
            <w:tcBorders>
              <w:top w:val="single" w:color="auto" w:sz="12" w:space="0"/>
              <w:right w:val="single" w:color="auto" w:sz="12" w:space="0"/>
              <w:tl2br w:val="nil"/>
              <w:tr2bl w:val="nil"/>
            </w:tcBorders>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排放浓度及排放量</w:t>
            </w:r>
          </w:p>
          <w:p>
            <w:pPr>
              <w:adjustRightInd w:val="0"/>
              <w:snapToGrid w:val="0"/>
              <w:jc w:val="center"/>
              <w:rPr>
                <w:rFonts w:ascii="Times New Roman" w:hAnsi="Times New Roman" w:cs="Times New Roman"/>
                <w:bCs/>
                <w:szCs w:val="21"/>
              </w:rPr>
            </w:pPr>
            <w:r>
              <w:rPr>
                <w:rFonts w:ascii="Times New Roman" w:hAnsi="Times New Roman" w:cs="Times New Roman"/>
                <w:bCs/>
                <w:szCs w:val="21"/>
              </w:rPr>
              <w:t>(单位)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restart"/>
            <w:tcBorders>
              <w:left w:val="single" w:color="auto" w:sz="12" w:space="0"/>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大</w:t>
            </w:r>
          </w:p>
          <w:p>
            <w:pPr>
              <w:snapToGrid w:val="0"/>
              <w:jc w:val="center"/>
              <w:rPr>
                <w:rFonts w:ascii="Times New Roman" w:hAnsi="Times New Roman" w:cs="Times New Roman"/>
                <w:bCs/>
                <w:szCs w:val="21"/>
              </w:rPr>
            </w:pPr>
            <w:r>
              <w:rPr>
                <w:rFonts w:ascii="Times New Roman" w:hAnsi="Times New Roman" w:cs="Times New Roman"/>
                <w:bCs/>
                <w:szCs w:val="21"/>
              </w:rPr>
              <w:t>气</w:t>
            </w:r>
          </w:p>
          <w:p>
            <w:pPr>
              <w:snapToGrid w:val="0"/>
              <w:jc w:val="center"/>
              <w:rPr>
                <w:rFonts w:ascii="Times New Roman" w:hAnsi="Times New Roman" w:cs="Times New Roman"/>
                <w:bCs/>
                <w:szCs w:val="21"/>
              </w:rPr>
            </w:pPr>
            <w:r>
              <w:rPr>
                <w:rFonts w:ascii="Times New Roman" w:hAnsi="Times New Roman" w:cs="Times New Roman"/>
                <w:bCs/>
                <w:szCs w:val="21"/>
              </w:rPr>
              <w:t>污</w:t>
            </w:r>
          </w:p>
          <w:p>
            <w:pPr>
              <w:snapToGrid w:val="0"/>
              <w:jc w:val="center"/>
              <w:rPr>
                <w:rFonts w:ascii="Times New Roman" w:hAnsi="Times New Roman" w:cs="Times New Roman"/>
                <w:bCs/>
                <w:szCs w:val="21"/>
              </w:rPr>
            </w:pPr>
            <w:r>
              <w:rPr>
                <w:rFonts w:ascii="Times New Roman" w:hAnsi="Times New Roman" w:cs="Times New Roman"/>
                <w:bCs/>
                <w:szCs w:val="21"/>
              </w:rPr>
              <w:t>染</w:t>
            </w:r>
          </w:p>
          <w:p>
            <w:pPr>
              <w:snapToGrid w:val="0"/>
              <w:jc w:val="center"/>
              <w:rPr>
                <w:rFonts w:ascii="Times New Roman" w:hAnsi="Times New Roman" w:cs="Times New Roman"/>
                <w:bCs/>
                <w:szCs w:val="21"/>
              </w:rPr>
            </w:pPr>
            <w:r>
              <w:rPr>
                <w:rFonts w:ascii="Times New Roman" w:hAnsi="Times New Roman" w:cs="Times New Roman"/>
                <w:bCs/>
                <w:szCs w:val="21"/>
              </w:rPr>
              <w:t>物</w:t>
            </w: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破碎和筛分粉尘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2500mg/m</w:t>
            </w:r>
            <w:r>
              <w:rPr>
                <w:rFonts w:hint="eastAsia" w:ascii="Times New Roman" w:hAnsi="Times New Roman" w:cs="Times New Roman"/>
                <w:bCs/>
                <w:szCs w:val="21"/>
                <w:shd w:val="clear" w:color="auto" w:fill="FFFFFF"/>
                <w:vertAlign w:val="superscript"/>
              </w:rPr>
              <w:t>3</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30.0t/a</w:t>
            </w:r>
          </w:p>
        </w:tc>
        <w:tc>
          <w:tcPr>
            <w:tcW w:w="1399" w:type="dxa"/>
            <w:tcBorders>
              <w:right w:val="single" w:color="auto" w:sz="4"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25mg/m</w:t>
            </w:r>
            <w:r>
              <w:rPr>
                <w:rFonts w:hint="eastAsia" w:ascii="Times New Roman" w:hAnsi="Times New Roman" w:cs="Times New Roman"/>
                <w:bCs/>
                <w:szCs w:val="21"/>
                <w:shd w:val="clear" w:color="auto" w:fill="FFFFFF"/>
                <w:vertAlign w:val="superscript"/>
              </w:rPr>
              <w:t>3</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0.300t/a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投料粉尘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0.400t/a</w:t>
            </w:r>
          </w:p>
        </w:tc>
        <w:tc>
          <w:tcPr>
            <w:tcW w:w="1399" w:type="dxa"/>
            <w:tcBorders>
              <w:right w:val="single" w:color="auto" w:sz="4"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0.120t/a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堆场扬尘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0.090t/a</w:t>
            </w:r>
          </w:p>
        </w:tc>
        <w:tc>
          <w:tcPr>
            <w:tcW w:w="1399" w:type="dxa"/>
            <w:tcBorders>
              <w:right w:val="single" w:color="auto" w:sz="4" w:space="0"/>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0.027t/a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道路运输扬尘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0.452t/a</w:t>
            </w:r>
          </w:p>
        </w:tc>
        <w:tc>
          <w:tcPr>
            <w:tcW w:w="1399" w:type="dxa"/>
            <w:tcBorders>
              <w:right w:val="single" w:color="auto" w:sz="4" w:space="0"/>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0.090t/a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落料及装卸粉尘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0.400t/a</w:t>
            </w:r>
          </w:p>
        </w:tc>
        <w:tc>
          <w:tcPr>
            <w:tcW w:w="1399" w:type="dxa"/>
            <w:tcBorders>
              <w:right w:val="single" w:color="auto" w:sz="4"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0.080t/a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石材加工粉尘</w:t>
            </w:r>
          </w:p>
        </w:tc>
        <w:tc>
          <w:tcPr>
            <w:tcW w:w="1134"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颗粒物</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0.135t/a</w:t>
            </w:r>
          </w:p>
        </w:tc>
        <w:tc>
          <w:tcPr>
            <w:tcW w:w="1399" w:type="dxa"/>
            <w:tcBorders>
              <w:right w:val="single" w:color="auto" w:sz="4"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snapToGrid w:val="0"/>
              <w:jc w:val="center"/>
              <w:rPr>
                <w:rFonts w:ascii="Times New Roman" w:hAnsi="Times New Roman" w:cs="Times New Roman"/>
                <w:bCs/>
                <w:szCs w:val="21"/>
                <w:shd w:val="clear" w:color="auto" w:fill="FFFFFF"/>
              </w:rPr>
            </w:pPr>
            <w:r>
              <w:rPr>
                <w:rFonts w:hint="eastAsia" w:ascii="Times New Roman" w:hAnsi="Times New Roman" w:cs="Times New Roman"/>
                <w:bCs/>
                <w:szCs w:val="21"/>
                <w:shd w:val="clear" w:color="auto" w:fill="FFFFFF"/>
              </w:rPr>
              <w:t>0.068t/a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汽车尾气</w:t>
            </w:r>
          </w:p>
        </w:tc>
        <w:tc>
          <w:tcPr>
            <w:tcW w:w="113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CO</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11.64kg/a</w:t>
            </w:r>
          </w:p>
        </w:tc>
        <w:tc>
          <w:tcPr>
            <w:tcW w:w="1399" w:type="dxa"/>
            <w:tcBorders>
              <w:right w:val="single" w:color="auto" w:sz="4" w:space="0"/>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11.64kg/a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THC</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0.49 kg/a</w:t>
            </w:r>
          </w:p>
        </w:tc>
        <w:tc>
          <w:tcPr>
            <w:tcW w:w="1399" w:type="dxa"/>
            <w:tcBorders>
              <w:right w:val="single" w:color="auto" w:sz="4" w:space="0"/>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0.49 kg/a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417" w:type="dxa"/>
            <w:tcBorders>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76"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1.18 kg/a</w:t>
            </w:r>
          </w:p>
        </w:tc>
        <w:tc>
          <w:tcPr>
            <w:tcW w:w="1399" w:type="dxa"/>
            <w:tcBorders>
              <w:right w:val="single" w:color="auto" w:sz="4" w:space="0"/>
              <w:tl2br w:val="nil"/>
              <w:tr2bl w:val="nil"/>
            </w:tcBorders>
            <w:vAlign w:val="center"/>
          </w:tcPr>
          <w:p>
            <w:pPr>
              <w:jc w:val="center"/>
            </w:pPr>
            <w:r>
              <w:rPr>
                <w:rFonts w:hint="eastAsia" w:ascii="Times New Roman" w:hAnsi="Times New Roman" w:cs="Times New Roman"/>
                <w:bCs/>
                <w:szCs w:val="21"/>
                <w:shd w:val="clear" w:color="auto" w:fill="FFFFFF"/>
              </w:rPr>
              <w:t>无组织排放</w:t>
            </w:r>
          </w:p>
        </w:tc>
        <w:tc>
          <w:tcPr>
            <w:tcW w:w="1258" w:type="dxa"/>
            <w:tcBorders>
              <w:left w:val="single" w:color="auto" w:sz="4" w:space="0"/>
              <w:right w:val="single" w:color="auto" w:sz="12" w:space="0"/>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1.18 kg/a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restart"/>
            <w:tcBorders>
              <w:left w:val="single" w:color="auto" w:sz="12" w:space="0"/>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水</w:t>
            </w:r>
          </w:p>
          <w:p>
            <w:pPr>
              <w:snapToGrid w:val="0"/>
              <w:jc w:val="center"/>
              <w:rPr>
                <w:rFonts w:ascii="Times New Roman" w:hAnsi="Times New Roman" w:cs="Times New Roman"/>
                <w:bCs/>
                <w:szCs w:val="21"/>
              </w:rPr>
            </w:pPr>
            <w:r>
              <w:rPr>
                <w:rFonts w:ascii="Times New Roman" w:hAnsi="Times New Roman" w:cs="Times New Roman"/>
                <w:bCs/>
                <w:szCs w:val="21"/>
              </w:rPr>
              <w:t>污</w:t>
            </w:r>
          </w:p>
          <w:p>
            <w:pPr>
              <w:snapToGrid w:val="0"/>
              <w:jc w:val="center"/>
              <w:rPr>
                <w:rFonts w:ascii="Times New Roman" w:hAnsi="Times New Roman" w:cs="Times New Roman"/>
                <w:bCs/>
                <w:szCs w:val="21"/>
              </w:rPr>
            </w:pPr>
            <w:r>
              <w:rPr>
                <w:rFonts w:ascii="Times New Roman" w:hAnsi="Times New Roman" w:cs="Times New Roman"/>
                <w:bCs/>
                <w:szCs w:val="21"/>
              </w:rPr>
              <w:t>染</w:t>
            </w:r>
          </w:p>
          <w:p>
            <w:pPr>
              <w:snapToGrid w:val="0"/>
              <w:jc w:val="center"/>
              <w:rPr>
                <w:rFonts w:ascii="Times New Roman" w:hAnsi="Times New Roman" w:cs="Times New Roman"/>
                <w:bCs/>
                <w:szCs w:val="21"/>
              </w:rPr>
            </w:pPr>
            <w:r>
              <w:rPr>
                <w:rFonts w:ascii="Times New Roman" w:hAnsi="Times New Roman" w:cs="Times New Roman"/>
                <w:bCs/>
                <w:szCs w:val="21"/>
              </w:rPr>
              <w:t>物</w:t>
            </w:r>
          </w:p>
        </w:tc>
        <w:tc>
          <w:tcPr>
            <w:tcW w:w="1871" w:type="dxa"/>
            <w:vMerge w:val="restart"/>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生活污水（108m</w:t>
            </w:r>
            <w:r>
              <w:rPr>
                <w:rFonts w:hint="eastAsia" w:ascii="Times New Roman" w:hAnsi="Times New Roman" w:cs="Times New Roman"/>
                <w:bCs/>
                <w:kern w:val="44"/>
                <w:szCs w:val="21"/>
                <w:vertAlign w:val="superscript"/>
              </w:rPr>
              <w:t>3</w:t>
            </w:r>
            <w:r>
              <w:rPr>
                <w:rFonts w:hint="eastAsia" w:ascii="Times New Roman" w:hAnsi="Times New Roman" w:cs="Times New Roman"/>
                <w:bCs/>
                <w:kern w:val="44"/>
                <w:szCs w:val="21"/>
              </w:rPr>
              <w:t>/a）</w:t>
            </w:r>
          </w:p>
        </w:tc>
        <w:tc>
          <w:tcPr>
            <w:tcW w:w="1134" w:type="dxa"/>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CODcr</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350mg/L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0.038t/a</w:t>
            </w:r>
          </w:p>
        </w:tc>
        <w:tc>
          <w:tcPr>
            <w:tcW w:w="2657" w:type="dxa"/>
            <w:gridSpan w:val="2"/>
            <w:vMerge w:val="restart"/>
            <w:tcBorders>
              <w:right w:val="single" w:color="auto" w:sz="12" w:space="0"/>
              <w:tl2br w:val="nil"/>
              <w:tr2bl w:val="nil"/>
            </w:tcBorders>
            <w:vAlign w:val="center"/>
          </w:tcPr>
          <w:p>
            <w:pPr>
              <w:snapToGrid w:val="0"/>
              <w:jc w:val="center"/>
              <w:rPr>
                <w:rFonts w:ascii="Times New Roman" w:hAnsi="Times New Roman" w:cs="Times New Roman"/>
                <w:bCs/>
                <w:szCs w:val="21"/>
                <w:highlight w:val="red"/>
              </w:rPr>
            </w:pPr>
            <w:r>
              <w:rPr>
                <w:rFonts w:hint="eastAsia" w:ascii="Times New Roman" w:hAnsi="Times New Roman" w:cs="Times New Roman"/>
                <w:bCs/>
                <w:szCs w:val="21"/>
              </w:rPr>
              <w:t>经化粪池处理后用作农肥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BOD</w:t>
            </w:r>
            <w:r>
              <w:rPr>
                <w:rFonts w:ascii="Times New Roman" w:hAnsi="Times New Roman" w:cs="Times New Roman"/>
                <w:bCs/>
                <w:szCs w:val="21"/>
                <w:vertAlign w:val="subscript"/>
              </w:rPr>
              <w:t>5</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150mg/L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0.016t/a</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NH</w:t>
            </w:r>
            <w:r>
              <w:rPr>
                <w:rFonts w:ascii="Times New Roman" w:hAnsi="Times New Roman" w:cs="Times New Roman"/>
                <w:bCs/>
                <w:szCs w:val="21"/>
                <w:vertAlign w:val="subscript"/>
              </w:rPr>
              <w:t>3</w:t>
            </w:r>
            <w:r>
              <w:rPr>
                <w:rFonts w:ascii="Times New Roman" w:hAnsi="Times New Roman" w:cs="Times New Roman"/>
                <w:bCs/>
                <w:szCs w:val="21"/>
              </w:rPr>
              <w:t>-N</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30mg/L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0.003t/a</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SS</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200mg/L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0.022t/a</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tcPr>
          <w:p>
            <w:pPr>
              <w:snapToGrid w:val="0"/>
              <w:jc w:val="center"/>
              <w:rPr>
                <w:rFonts w:ascii="Times New Roman" w:hAnsi="Times New Roman" w:cs="Times New Roman"/>
                <w:bCs/>
                <w:szCs w:val="21"/>
              </w:rPr>
            </w:pPr>
          </w:p>
        </w:tc>
        <w:tc>
          <w:tcPr>
            <w:tcW w:w="1871" w:type="dxa"/>
            <w:vMerge w:val="continue"/>
            <w:tcBorders>
              <w:tl2br w:val="nil"/>
              <w:tr2bl w:val="nil"/>
            </w:tcBorders>
            <w:vAlign w:val="center"/>
          </w:tcPr>
          <w:p>
            <w:pPr>
              <w:snapToGrid w:val="0"/>
              <w:jc w:val="center"/>
              <w:rPr>
                <w:rFonts w:ascii="Times New Roman" w:hAnsi="Times New Roman" w:cs="Times New Roman"/>
                <w:bCs/>
                <w:kern w:val="44"/>
                <w:szCs w:val="21"/>
              </w:rPr>
            </w:pPr>
          </w:p>
        </w:tc>
        <w:tc>
          <w:tcPr>
            <w:tcW w:w="1134"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35 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0.004t/a</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初期雨水</w:t>
            </w:r>
          </w:p>
        </w:tc>
        <w:tc>
          <w:tcPr>
            <w:tcW w:w="1134"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SS</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1800mg/L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w:t>
            </w:r>
          </w:p>
        </w:tc>
        <w:tc>
          <w:tcPr>
            <w:tcW w:w="2657" w:type="dxa"/>
            <w:gridSpan w:val="2"/>
            <w:vMerge w:val="restart"/>
            <w:tcBorders>
              <w:right w:val="single" w:color="auto" w:sz="12" w:space="0"/>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经沉淀处理后回用于生产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洗车废水</w:t>
            </w:r>
          </w:p>
        </w:tc>
        <w:tc>
          <w:tcPr>
            <w:tcW w:w="1134"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SS</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800mg/L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snapToGrid w:val="0"/>
              <w:jc w:val="center"/>
              <w:rPr>
                <w:rFonts w:ascii="Times New Roman" w:hAnsi="Times New Roman" w:cs="Times New Roman"/>
                <w:bCs/>
                <w:kern w:val="44"/>
                <w:szCs w:val="21"/>
              </w:rPr>
            </w:pPr>
            <w:r>
              <w:rPr>
                <w:rFonts w:hint="eastAsia" w:ascii="Times New Roman" w:hAnsi="Times New Roman" w:cs="Times New Roman"/>
                <w:bCs/>
                <w:kern w:val="44"/>
                <w:szCs w:val="21"/>
              </w:rPr>
              <w:t>石材加工废水</w:t>
            </w:r>
          </w:p>
        </w:tc>
        <w:tc>
          <w:tcPr>
            <w:tcW w:w="1134"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SS</w:t>
            </w:r>
          </w:p>
        </w:tc>
        <w:tc>
          <w:tcPr>
            <w:tcW w:w="1417"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3000mg/L</w:t>
            </w:r>
          </w:p>
        </w:tc>
        <w:tc>
          <w:tcPr>
            <w:tcW w:w="1276" w:type="dxa"/>
            <w:tcBorders>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w:t>
            </w:r>
          </w:p>
        </w:tc>
        <w:tc>
          <w:tcPr>
            <w:tcW w:w="2657" w:type="dxa"/>
            <w:gridSpan w:val="2"/>
            <w:vMerge w:val="continue"/>
            <w:tcBorders>
              <w:right w:val="single" w:color="auto" w:sz="12" w:space="0"/>
              <w:tl2br w:val="nil"/>
              <w:tr2bl w:val="nil"/>
            </w:tcBorders>
            <w:vAlign w:val="center"/>
          </w:tcPr>
          <w:p>
            <w:pPr>
              <w:snapToGrid w:val="0"/>
              <w:jc w:val="center"/>
              <w:rPr>
                <w:rFonts w:ascii="Times New Roman" w:hAnsi="Times New Roman" w:cs="Times New Roman"/>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restart"/>
            <w:tcBorders>
              <w:left w:val="single" w:color="auto" w:sz="12" w:space="0"/>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固</w:t>
            </w:r>
          </w:p>
          <w:p>
            <w:pPr>
              <w:snapToGrid w:val="0"/>
              <w:jc w:val="center"/>
              <w:rPr>
                <w:rFonts w:ascii="Times New Roman" w:hAnsi="Times New Roman" w:cs="Times New Roman"/>
                <w:bCs/>
                <w:szCs w:val="21"/>
              </w:rPr>
            </w:pPr>
            <w:r>
              <w:rPr>
                <w:rFonts w:ascii="Times New Roman" w:hAnsi="Times New Roman" w:cs="Times New Roman"/>
                <w:bCs/>
                <w:szCs w:val="21"/>
              </w:rPr>
              <w:t>体</w:t>
            </w:r>
          </w:p>
          <w:p>
            <w:pPr>
              <w:snapToGrid w:val="0"/>
              <w:jc w:val="center"/>
              <w:rPr>
                <w:rFonts w:ascii="Times New Roman" w:hAnsi="Times New Roman" w:cs="Times New Roman"/>
                <w:bCs/>
                <w:szCs w:val="21"/>
              </w:rPr>
            </w:pPr>
            <w:r>
              <w:rPr>
                <w:rFonts w:ascii="Times New Roman" w:hAnsi="Times New Roman" w:cs="Times New Roman"/>
                <w:bCs/>
                <w:szCs w:val="21"/>
              </w:rPr>
              <w:t>废</w:t>
            </w:r>
          </w:p>
          <w:p>
            <w:pPr>
              <w:snapToGrid w:val="0"/>
              <w:jc w:val="center"/>
              <w:rPr>
                <w:rFonts w:ascii="Times New Roman" w:hAnsi="Times New Roman" w:cs="Times New Roman"/>
                <w:bCs/>
                <w:szCs w:val="21"/>
              </w:rPr>
            </w:pPr>
            <w:r>
              <w:rPr>
                <w:rFonts w:ascii="Times New Roman" w:hAnsi="Times New Roman" w:cs="Times New Roman"/>
                <w:bCs/>
                <w:szCs w:val="21"/>
              </w:rPr>
              <w:t>物</w:t>
            </w:r>
          </w:p>
        </w:tc>
        <w:tc>
          <w:tcPr>
            <w:tcW w:w="1871" w:type="dxa"/>
            <w:tcBorders>
              <w:tl2br w:val="nil"/>
              <w:tr2bl w:val="nil"/>
            </w:tcBorders>
            <w:vAlign w:val="center"/>
          </w:tcPr>
          <w:p>
            <w:pPr>
              <w:jc w:val="center"/>
              <w:rPr>
                <w:rFonts w:ascii="Times New Roman" w:hAnsi="Times New Roman" w:cs="Times New Roman"/>
                <w:bCs/>
                <w:kern w:val="44"/>
                <w:szCs w:val="21"/>
              </w:rPr>
            </w:pPr>
            <w:r>
              <w:rPr>
                <w:rFonts w:hint="eastAsia" w:ascii="Times New Roman" w:hAnsi="Times New Roman" w:cs="Times New Roman"/>
                <w:bCs/>
                <w:kern w:val="44"/>
                <w:szCs w:val="21"/>
              </w:rPr>
              <w:t>沉淀池沉渣</w:t>
            </w:r>
          </w:p>
        </w:tc>
        <w:tc>
          <w:tcPr>
            <w:tcW w:w="1134" w:type="dxa"/>
            <w:tcBorders>
              <w:tl2br w:val="nil"/>
              <w:tr2bl w:val="nil"/>
            </w:tcBorders>
            <w:vAlign w:val="center"/>
          </w:tcPr>
          <w:p>
            <w:pPr>
              <w:pStyle w:val="52"/>
              <w:kinsoku w:val="0"/>
              <w:overflowPunct w:val="0"/>
              <w:jc w:val="center"/>
              <w:rPr>
                <w:sz w:val="21"/>
                <w:szCs w:val="21"/>
              </w:rPr>
            </w:pPr>
            <w:r>
              <w:rPr>
                <w:rFonts w:hint="eastAsia"/>
                <w:sz w:val="21"/>
                <w:szCs w:val="21"/>
              </w:rPr>
              <w:t>/</w:t>
            </w:r>
          </w:p>
        </w:tc>
        <w:tc>
          <w:tcPr>
            <w:tcW w:w="2693" w:type="dxa"/>
            <w:gridSpan w:val="2"/>
            <w:tcBorders>
              <w:tl2br w:val="nil"/>
              <w:tr2bl w:val="nil"/>
            </w:tcBorders>
            <w:vAlign w:val="center"/>
          </w:tcPr>
          <w:p>
            <w:pPr>
              <w:spacing w:line="360" w:lineRule="exact"/>
              <w:jc w:val="center"/>
              <w:rPr>
                <w:rFonts w:ascii="Times New Roman" w:hAnsi="Times New Roman" w:cs="Times New Roman"/>
                <w:bCs/>
                <w:szCs w:val="21"/>
              </w:rPr>
            </w:pPr>
            <w:r>
              <w:rPr>
                <w:rFonts w:hint="eastAsia" w:ascii="Times New Roman" w:hAnsi="Times New Roman" w:cs="Times New Roman"/>
                <w:bCs/>
                <w:szCs w:val="21"/>
              </w:rPr>
              <w:t>420 t/a</w:t>
            </w:r>
          </w:p>
        </w:tc>
        <w:tc>
          <w:tcPr>
            <w:tcW w:w="2657" w:type="dxa"/>
            <w:gridSpan w:val="2"/>
            <w:tcBorders>
              <w:right w:val="single" w:color="auto" w:sz="12" w:space="0"/>
              <w:tl2br w:val="nil"/>
              <w:tr2bl w:val="nil"/>
            </w:tcBorders>
            <w:vAlign w:val="center"/>
          </w:tcPr>
          <w:p>
            <w:pPr>
              <w:spacing w:line="360" w:lineRule="exact"/>
              <w:jc w:val="center"/>
              <w:rPr>
                <w:rFonts w:ascii="Times New Roman" w:hAnsi="Times New Roman" w:cs="Times New Roman"/>
                <w:bCs/>
                <w:szCs w:val="21"/>
              </w:rPr>
            </w:pPr>
            <w:r>
              <w:rPr>
                <w:rFonts w:hint="eastAsia"/>
                <w:szCs w:val="21"/>
              </w:rPr>
              <w:t>与</w:t>
            </w:r>
            <w:r>
              <w:rPr>
                <w:rFonts w:hint="eastAsia" w:ascii="Times New Roman" w:hAnsi="Times New Roman" w:cs="Times New Roman"/>
              </w:rPr>
              <w:t>砂石</w:t>
            </w:r>
            <w:r>
              <w:rPr>
                <w:rFonts w:hint="eastAsia"/>
                <w:szCs w:val="21"/>
              </w:rPr>
              <w:t>产品一同外售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jc w:val="center"/>
              <w:rPr>
                <w:rFonts w:ascii="Times New Roman" w:hAnsi="Times New Roman" w:cs="Times New Roman"/>
                <w:bCs/>
                <w:kern w:val="44"/>
                <w:szCs w:val="21"/>
              </w:rPr>
            </w:pPr>
            <w:r>
              <w:rPr>
                <w:rFonts w:hint="eastAsia" w:ascii="Times New Roman" w:hAnsi="Times New Roman" w:cs="Times New Roman"/>
                <w:bCs/>
                <w:kern w:val="44"/>
                <w:szCs w:val="21"/>
              </w:rPr>
              <w:t>石材加工边角料</w:t>
            </w:r>
          </w:p>
        </w:tc>
        <w:tc>
          <w:tcPr>
            <w:tcW w:w="1134" w:type="dxa"/>
            <w:tcBorders>
              <w:tl2br w:val="nil"/>
              <w:tr2bl w:val="nil"/>
            </w:tcBorders>
            <w:vAlign w:val="center"/>
          </w:tcPr>
          <w:p>
            <w:pPr>
              <w:pStyle w:val="52"/>
              <w:kinsoku w:val="0"/>
              <w:overflowPunct w:val="0"/>
              <w:jc w:val="center"/>
              <w:rPr>
                <w:sz w:val="21"/>
                <w:szCs w:val="21"/>
              </w:rPr>
            </w:pPr>
            <w:r>
              <w:rPr>
                <w:rFonts w:hint="eastAsia"/>
                <w:sz w:val="21"/>
                <w:szCs w:val="21"/>
              </w:rPr>
              <w:t>/</w:t>
            </w:r>
          </w:p>
        </w:tc>
        <w:tc>
          <w:tcPr>
            <w:tcW w:w="2693" w:type="dxa"/>
            <w:gridSpan w:val="2"/>
            <w:tcBorders>
              <w:tl2br w:val="nil"/>
              <w:tr2bl w:val="nil"/>
            </w:tcBorders>
            <w:vAlign w:val="center"/>
          </w:tcPr>
          <w:p>
            <w:pPr>
              <w:spacing w:line="360" w:lineRule="exact"/>
              <w:jc w:val="center"/>
              <w:rPr>
                <w:rFonts w:ascii="Times New Roman" w:hAnsi="Times New Roman" w:cs="Times New Roman"/>
                <w:bCs/>
                <w:szCs w:val="21"/>
              </w:rPr>
            </w:pPr>
            <w:r>
              <w:rPr>
                <w:rFonts w:hint="eastAsia" w:ascii="Times New Roman" w:hAnsi="Times New Roman" w:cs="Times New Roman"/>
                <w:bCs/>
                <w:szCs w:val="21"/>
              </w:rPr>
              <w:t>7680 t/a</w:t>
            </w:r>
          </w:p>
        </w:tc>
        <w:tc>
          <w:tcPr>
            <w:tcW w:w="2657" w:type="dxa"/>
            <w:gridSpan w:val="2"/>
            <w:tcBorders>
              <w:right w:val="single" w:color="auto" w:sz="12" w:space="0"/>
              <w:tl2br w:val="nil"/>
              <w:tr2bl w:val="nil"/>
            </w:tcBorders>
            <w:vAlign w:val="center"/>
          </w:tcPr>
          <w:p>
            <w:pPr>
              <w:spacing w:line="360" w:lineRule="exact"/>
              <w:jc w:val="center"/>
              <w:rPr>
                <w:szCs w:val="21"/>
              </w:rPr>
            </w:pPr>
            <w:r>
              <w:rPr>
                <w:rFonts w:hint="eastAsia"/>
                <w:szCs w:val="21"/>
              </w:rPr>
              <w:t>用作本项目制砂原料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jc w:val="center"/>
              <w:rPr>
                <w:rFonts w:ascii="Times New Roman" w:hAnsi="Times New Roman" w:cs="Times New Roman"/>
                <w:bCs/>
                <w:kern w:val="44"/>
                <w:szCs w:val="21"/>
              </w:rPr>
            </w:pPr>
            <w:r>
              <w:rPr>
                <w:rFonts w:hint="eastAsia" w:ascii="Times New Roman" w:hAnsi="Times New Roman" w:cs="Times New Roman"/>
                <w:bCs/>
                <w:kern w:val="44"/>
                <w:szCs w:val="21"/>
              </w:rPr>
              <w:t>除尘器收集粉尘</w:t>
            </w:r>
          </w:p>
        </w:tc>
        <w:tc>
          <w:tcPr>
            <w:tcW w:w="1134" w:type="dxa"/>
            <w:tcBorders>
              <w:tl2br w:val="nil"/>
              <w:tr2bl w:val="nil"/>
            </w:tcBorders>
            <w:vAlign w:val="center"/>
          </w:tcPr>
          <w:p>
            <w:pPr>
              <w:pStyle w:val="52"/>
              <w:kinsoku w:val="0"/>
              <w:overflowPunct w:val="0"/>
              <w:jc w:val="center"/>
              <w:rPr>
                <w:sz w:val="21"/>
                <w:szCs w:val="21"/>
              </w:rPr>
            </w:pPr>
            <w:r>
              <w:rPr>
                <w:rFonts w:hint="eastAsia"/>
                <w:sz w:val="21"/>
                <w:szCs w:val="21"/>
              </w:rPr>
              <w:t>/</w:t>
            </w:r>
          </w:p>
        </w:tc>
        <w:tc>
          <w:tcPr>
            <w:tcW w:w="2693" w:type="dxa"/>
            <w:gridSpan w:val="2"/>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 xml:space="preserve">30 </w:t>
            </w:r>
            <w:r>
              <w:rPr>
                <w:rFonts w:ascii="Times New Roman" w:hAnsi="Times New Roman" w:cs="Times New Roman"/>
                <w:bCs/>
                <w:szCs w:val="21"/>
              </w:rPr>
              <w:t>t</w:t>
            </w:r>
            <w:r>
              <w:rPr>
                <w:rFonts w:hint="eastAsia" w:ascii="Times New Roman" w:hAnsi="Times New Roman" w:cs="Times New Roman"/>
                <w:bCs/>
                <w:szCs w:val="21"/>
              </w:rPr>
              <w:t>/a</w:t>
            </w:r>
          </w:p>
        </w:tc>
        <w:tc>
          <w:tcPr>
            <w:tcW w:w="2657" w:type="dxa"/>
            <w:gridSpan w:val="2"/>
            <w:tcBorders>
              <w:right w:val="single" w:color="auto" w:sz="12" w:space="0"/>
              <w:tl2br w:val="nil"/>
              <w:tr2bl w:val="nil"/>
            </w:tcBorders>
            <w:vAlign w:val="center"/>
          </w:tcPr>
          <w:p>
            <w:pPr>
              <w:jc w:val="center"/>
              <w:rPr>
                <w:rFonts w:ascii="Times New Roman" w:hAnsi="Times New Roman" w:cs="Times New Roman"/>
                <w:bCs/>
                <w:szCs w:val="21"/>
              </w:rPr>
            </w:pPr>
            <w:r>
              <w:rPr>
                <w:rFonts w:hint="eastAsia"/>
                <w:szCs w:val="21"/>
              </w:rPr>
              <w:t>与</w:t>
            </w:r>
            <w:r>
              <w:rPr>
                <w:rFonts w:hint="eastAsia" w:ascii="Times New Roman" w:hAnsi="Times New Roman" w:cs="Times New Roman"/>
              </w:rPr>
              <w:t>砂石</w:t>
            </w:r>
            <w:r>
              <w:rPr>
                <w:rFonts w:hint="eastAsia"/>
                <w:szCs w:val="21"/>
              </w:rPr>
              <w:t>产品一同外售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jc w:val="center"/>
              <w:rPr>
                <w:rFonts w:ascii="Times New Roman" w:hAnsi="Times New Roman" w:cs="Times New Roman"/>
                <w:bCs/>
                <w:kern w:val="44"/>
                <w:szCs w:val="21"/>
              </w:rPr>
            </w:pPr>
            <w:r>
              <w:rPr>
                <w:rFonts w:hint="eastAsia" w:ascii="Times New Roman" w:hAnsi="Times New Roman" w:cs="Times New Roman"/>
                <w:bCs/>
                <w:kern w:val="44"/>
                <w:szCs w:val="21"/>
              </w:rPr>
              <w:t>废机油</w:t>
            </w:r>
          </w:p>
        </w:tc>
        <w:tc>
          <w:tcPr>
            <w:tcW w:w="1134" w:type="dxa"/>
            <w:tcBorders>
              <w:tl2br w:val="nil"/>
              <w:tr2bl w:val="nil"/>
            </w:tcBorders>
            <w:vAlign w:val="center"/>
          </w:tcPr>
          <w:p>
            <w:pPr>
              <w:pStyle w:val="52"/>
              <w:kinsoku w:val="0"/>
              <w:overflowPunct w:val="0"/>
              <w:jc w:val="center"/>
              <w:rPr>
                <w:sz w:val="21"/>
                <w:szCs w:val="21"/>
              </w:rPr>
            </w:pPr>
            <w:r>
              <w:rPr>
                <w:rFonts w:hint="eastAsia"/>
                <w:sz w:val="21"/>
                <w:szCs w:val="21"/>
              </w:rPr>
              <w:t>/</w:t>
            </w:r>
          </w:p>
        </w:tc>
        <w:tc>
          <w:tcPr>
            <w:tcW w:w="2693" w:type="dxa"/>
            <w:gridSpan w:val="2"/>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0.05</w:t>
            </w:r>
            <w:r>
              <w:rPr>
                <w:rFonts w:ascii="Times New Roman" w:hAnsi="Times New Roman" w:cs="Times New Roman"/>
                <w:bCs/>
                <w:szCs w:val="21"/>
              </w:rPr>
              <w:t xml:space="preserve"> t</w:t>
            </w:r>
            <w:r>
              <w:rPr>
                <w:rFonts w:hint="eastAsia" w:ascii="Times New Roman" w:hAnsi="Times New Roman" w:cs="Times New Roman"/>
                <w:bCs/>
                <w:szCs w:val="21"/>
              </w:rPr>
              <w:t>/a</w:t>
            </w:r>
          </w:p>
        </w:tc>
        <w:tc>
          <w:tcPr>
            <w:tcW w:w="2657" w:type="dxa"/>
            <w:gridSpan w:val="2"/>
            <w:tcBorders>
              <w:right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交由有资质单位处置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jc w:val="center"/>
              <w:rPr>
                <w:rFonts w:ascii="Times New Roman" w:hAnsi="Times New Roman" w:cs="Times New Roman"/>
                <w:bCs/>
                <w:kern w:val="44"/>
                <w:szCs w:val="21"/>
              </w:rPr>
            </w:pPr>
            <w:r>
              <w:rPr>
                <w:rFonts w:hint="eastAsia" w:ascii="Times New Roman" w:hAnsi="Times New Roman" w:cs="Times New Roman"/>
                <w:bCs/>
                <w:kern w:val="44"/>
                <w:szCs w:val="21"/>
              </w:rPr>
              <w:t>含油抹布和手套</w:t>
            </w:r>
          </w:p>
        </w:tc>
        <w:tc>
          <w:tcPr>
            <w:tcW w:w="1134" w:type="dxa"/>
            <w:tcBorders>
              <w:tl2br w:val="nil"/>
              <w:tr2bl w:val="nil"/>
            </w:tcBorders>
            <w:vAlign w:val="center"/>
          </w:tcPr>
          <w:p>
            <w:pPr>
              <w:pStyle w:val="52"/>
              <w:kinsoku w:val="0"/>
              <w:overflowPunct w:val="0"/>
              <w:jc w:val="center"/>
              <w:rPr>
                <w:sz w:val="21"/>
                <w:szCs w:val="21"/>
              </w:rPr>
            </w:pPr>
            <w:r>
              <w:rPr>
                <w:rFonts w:hint="eastAsia"/>
                <w:sz w:val="21"/>
                <w:szCs w:val="21"/>
              </w:rPr>
              <w:t>/</w:t>
            </w:r>
          </w:p>
        </w:tc>
        <w:tc>
          <w:tcPr>
            <w:tcW w:w="2693" w:type="dxa"/>
            <w:gridSpan w:val="2"/>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0.05</w:t>
            </w:r>
            <w:r>
              <w:rPr>
                <w:rFonts w:ascii="Times New Roman" w:hAnsi="Times New Roman" w:cs="Times New Roman"/>
                <w:bCs/>
                <w:szCs w:val="21"/>
              </w:rPr>
              <w:t xml:space="preserve"> t</w:t>
            </w:r>
            <w:r>
              <w:rPr>
                <w:rFonts w:hint="eastAsia" w:ascii="Times New Roman" w:hAnsi="Times New Roman" w:cs="Times New Roman"/>
                <w:bCs/>
                <w:szCs w:val="21"/>
              </w:rPr>
              <w:t>/a</w:t>
            </w:r>
          </w:p>
        </w:tc>
        <w:tc>
          <w:tcPr>
            <w:tcW w:w="2657" w:type="dxa"/>
            <w:gridSpan w:val="2"/>
            <w:tcBorders>
              <w:right w:val="single" w:color="auto" w:sz="12" w:space="0"/>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混入生活垃圾一同处置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31" w:type="dxa"/>
            <w:vMerge w:val="continue"/>
            <w:tcBorders>
              <w:left w:val="single" w:color="auto" w:sz="12" w:space="0"/>
              <w:tl2br w:val="nil"/>
              <w:tr2bl w:val="nil"/>
            </w:tcBorders>
            <w:vAlign w:val="center"/>
          </w:tcPr>
          <w:p>
            <w:pPr>
              <w:snapToGrid w:val="0"/>
              <w:jc w:val="center"/>
              <w:rPr>
                <w:rFonts w:ascii="Times New Roman" w:hAnsi="Times New Roman" w:cs="Times New Roman"/>
                <w:bCs/>
                <w:szCs w:val="21"/>
              </w:rPr>
            </w:pPr>
          </w:p>
        </w:tc>
        <w:tc>
          <w:tcPr>
            <w:tcW w:w="1871" w:type="dxa"/>
            <w:tcBorders>
              <w:tl2br w:val="nil"/>
              <w:tr2bl w:val="nil"/>
            </w:tcBorders>
            <w:vAlign w:val="center"/>
          </w:tcPr>
          <w:p>
            <w:pPr>
              <w:widowControl/>
              <w:jc w:val="center"/>
              <w:rPr>
                <w:rFonts w:ascii="Times New Roman" w:hAnsi="Times New Roman" w:cs="Times New Roman"/>
                <w:bCs/>
                <w:kern w:val="44"/>
                <w:szCs w:val="21"/>
              </w:rPr>
            </w:pPr>
            <w:r>
              <w:rPr>
                <w:rFonts w:hint="eastAsia" w:ascii="Times New Roman" w:hAnsi="Times New Roman" w:cs="Times New Roman"/>
                <w:bCs/>
                <w:kern w:val="44"/>
                <w:szCs w:val="21"/>
              </w:rPr>
              <w:t>生活垃圾</w:t>
            </w:r>
          </w:p>
        </w:tc>
        <w:tc>
          <w:tcPr>
            <w:tcW w:w="1134" w:type="dxa"/>
            <w:tcBorders>
              <w:tl2br w:val="nil"/>
              <w:tr2bl w:val="nil"/>
            </w:tcBorders>
            <w:vAlign w:val="center"/>
          </w:tcPr>
          <w:p>
            <w:pPr>
              <w:jc w:val="center"/>
              <w:rPr>
                <w:rFonts w:ascii="Times New Roman" w:hAnsi="Times New Roman" w:cs="Times New Roman"/>
                <w:bCs/>
                <w:szCs w:val="21"/>
              </w:rPr>
            </w:pPr>
            <w:r>
              <w:rPr>
                <w:rFonts w:hint="eastAsia"/>
                <w:szCs w:val="21"/>
              </w:rPr>
              <w:t>/</w:t>
            </w:r>
          </w:p>
        </w:tc>
        <w:tc>
          <w:tcPr>
            <w:tcW w:w="2693" w:type="dxa"/>
            <w:gridSpan w:val="2"/>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 xml:space="preserve">1.5 </w:t>
            </w:r>
            <w:r>
              <w:rPr>
                <w:rFonts w:ascii="Times New Roman" w:hAnsi="Times New Roman" w:cs="Times New Roman"/>
                <w:bCs/>
                <w:szCs w:val="21"/>
              </w:rPr>
              <w:t>t</w:t>
            </w:r>
            <w:r>
              <w:rPr>
                <w:rFonts w:hint="eastAsia" w:ascii="Times New Roman" w:hAnsi="Times New Roman" w:cs="Times New Roman"/>
                <w:bCs/>
                <w:szCs w:val="21"/>
              </w:rPr>
              <w:t>/a</w:t>
            </w:r>
          </w:p>
        </w:tc>
        <w:tc>
          <w:tcPr>
            <w:tcW w:w="2657" w:type="dxa"/>
            <w:gridSpan w:val="2"/>
            <w:tcBorders>
              <w:right w:val="single" w:color="auto" w:sz="12" w:space="0"/>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环卫部门统一处理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931" w:type="dxa"/>
            <w:tcBorders>
              <w:left w:val="single" w:color="auto" w:sz="12" w:space="0"/>
              <w:tl2br w:val="nil"/>
              <w:tr2bl w:val="nil"/>
            </w:tcBorders>
            <w:vAlign w:val="center"/>
          </w:tcPr>
          <w:p>
            <w:pPr>
              <w:snapToGrid w:val="0"/>
              <w:jc w:val="center"/>
              <w:rPr>
                <w:rFonts w:ascii="Times New Roman" w:hAnsi="Times New Roman" w:cs="Times New Roman"/>
                <w:bCs/>
                <w:szCs w:val="21"/>
              </w:rPr>
            </w:pPr>
            <w:r>
              <w:rPr>
                <w:rFonts w:ascii="Times New Roman" w:hAnsi="Times New Roman" w:cs="Times New Roman"/>
                <w:bCs/>
                <w:szCs w:val="21"/>
              </w:rPr>
              <w:t>噪</w:t>
            </w:r>
          </w:p>
          <w:p>
            <w:pPr>
              <w:snapToGrid w:val="0"/>
              <w:jc w:val="center"/>
              <w:rPr>
                <w:rFonts w:ascii="Times New Roman" w:hAnsi="Times New Roman" w:cs="Times New Roman"/>
                <w:bCs/>
                <w:szCs w:val="21"/>
              </w:rPr>
            </w:pPr>
            <w:r>
              <w:rPr>
                <w:rFonts w:ascii="Times New Roman" w:hAnsi="Times New Roman" w:cs="Times New Roman"/>
                <w:bCs/>
                <w:szCs w:val="21"/>
              </w:rPr>
              <w:t>声</w:t>
            </w:r>
          </w:p>
        </w:tc>
        <w:tc>
          <w:tcPr>
            <w:tcW w:w="8355" w:type="dxa"/>
            <w:gridSpan w:val="6"/>
            <w:tcBorders>
              <w:right w:val="single" w:color="auto" w:sz="12" w:space="0"/>
              <w:tl2br w:val="nil"/>
              <w:tr2bl w:val="nil"/>
            </w:tcBorders>
            <w:vAlign w:val="center"/>
          </w:tcPr>
          <w:p>
            <w:pPr>
              <w:snapToGrid w:val="0"/>
              <w:spacing w:before="156" w:beforeLines="50"/>
              <w:ind w:firstLine="420" w:firstLineChars="200"/>
              <w:rPr>
                <w:rFonts w:ascii="Times New Roman" w:hAnsi="Times New Roman" w:cs="Times New Roman"/>
                <w:bCs/>
                <w:szCs w:val="21"/>
              </w:rPr>
            </w:pPr>
            <w:r>
              <w:rPr>
                <w:rFonts w:ascii="Times New Roman" w:hAnsi="Times New Roman" w:eastAsia="宋体" w:cs="Times New Roman"/>
                <w:bCs/>
                <w:kern w:val="0"/>
                <w:szCs w:val="21"/>
              </w:rPr>
              <w:t>项目噪声主要</w:t>
            </w:r>
            <w:r>
              <w:rPr>
                <w:rFonts w:hint="eastAsia" w:ascii="Times New Roman" w:hAnsi="Times New Roman" w:eastAsia="宋体" w:cs="Times New Roman"/>
                <w:bCs/>
                <w:kern w:val="0"/>
                <w:szCs w:val="21"/>
              </w:rPr>
              <w:t>来源于切割机、磨边机、振动筛、破碎机、装载机等各类生产设备，噪声强度在70~114dB(A)。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931" w:type="dxa"/>
            <w:tcBorders>
              <w:left w:val="single" w:color="auto" w:sz="12" w:space="0"/>
              <w:tl2br w:val="nil"/>
              <w:tr2bl w:val="nil"/>
            </w:tcBorders>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其他</w:t>
            </w:r>
          </w:p>
        </w:tc>
        <w:tc>
          <w:tcPr>
            <w:tcW w:w="8355" w:type="dxa"/>
            <w:gridSpan w:val="6"/>
            <w:tcBorders>
              <w:right w:val="single" w:color="auto" w:sz="12" w:space="0"/>
              <w:tl2br w:val="nil"/>
              <w:tr2bl w:val="nil"/>
            </w:tcBorders>
            <w:vAlign w:val="center"/>
          </w:tcPr>
          <w:p>
            <w:pPr>
              <w:snapToGrid w:val="0"/>
              <w:spacing w:before="156" w:beforeLines="50"/>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生产废水直排时，废水排放将造成周边水体受污染，一旦事故发生，应立即停止生产并采取应急处置措施。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405" w:hRule="atLeast"/>
          <w:jc w:val="center"/>
        </w:trPr>
        <w:tc>
          <w:tcPr>
            <w:tcW w:w="9286" w:type="dxa"/>
            <w:gridSpan w:val="7"/>
            <w:tcBorders>
              <w:left w:val="single" w:color="auto" w:sz="12" w:space="0"/>
              <w:bottom w:val="single" w:color="auto" w:sz="12" w:space="0"/>
              <w:right w:val="single" w:color="auto" w:sz="12" w:space="0"/>
              <w:tl2br w:val="nil"/>
              <w:tr2bl w:val="nil"/>
            </w:tcBorders>
          </w:tcPr>
          <w:p>
            <w:pPr>
              <w:snapToGrid w:val="0"/>
              <w:spacing w:before="156" w:beforeLines="50"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主要生态影响(不够时可附另页)</w:t>
            </w:r>
          </w:p>
          <w:p>
            <w:pPr>
              <w:snapToGrid w:val="0"/>
              <w:spacing w:before="156" w:beforeLines="50" w:line="360" w:lineRule="auto"/>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本项目在施工过程中，由于基础建设过程中势必造成场地原有地表破坏。水土流失将造成土壤肥力降低，地表水中泥沙含量增大，使项目生态环境质量下降。工程完工后，场地平整形成的裸露面基本被建筑物、道路、铺地和相应的绿色植物所覆盖，基本不再裸露，生态影响将得到控制。项目营运期在采取有效的污染防治措施的条件下可以将产生的污染物排放控制在较低的水平，不对周边生态环境造成明显不利影响。</w:t>
            </w:r>
          </w:p>
        </w:tc>
      </w:tr>
    </w:tbl>
    <w:p>
      <w:pPr>
        <w:pStyle w:val="2"/>
      </w:pPr>
      <w:bookmarkStart w:id="64" w:name="_Toc5097"/>
      <w:bookmarkStart w:id="65" w:name="_Toc13504"/>
      <w:bookmarkStart w:id="66" w:name="_Toc7464061"/>
      <w:r>
        <w:t>七、环境影响分析</w:t>
      </w:r>
      <w:bookmarkEnd w:id="64"/>
      <w:bookmarkEnd w:id="65"/>
      <w:bookmarkEnd w:id="66"/>
    </w:p>
    <w:tbl>
      <w:tblPr>
        <w:tblStyle w:val="25"/>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34" w:hRule="atLeast"/>
        </w:trPr>
        <w:tc>
          <w:tcPr>
            <w:tcW w:w="9286" w:type="dxa"/>
          </w:tcPr>
          <w:p>
            <w:pPr>
              <w:rPr>
                <w:rFonts w:ascii="Times New Roman" w:hAnsi="Times New Roman" w:cs="Times New Roman"/>
                <w:b/>
                <w:sz w:val="28"/>
                <w:szCs w:val="28"/>
              </w:rPr>
            </w:pPr>
            <w:r>
              <w:rPr>
                <w:rFonts w:hint="eastAsia" w:ascii="Times New Roman" w:hAnsi="Times New Roman" w:cs="Times New Roman"/>
                <w:b/>
                <w:sz w:val="28"/>
                <w:szCs w:val="28"/>
              </w:rPr>
              <w:t>7.1</w:t>
            </w:r>
            <w:r>
              <w:rPr>
                <w:rFonts w:ascii="Times New Roman" w:hAnsi="Times New Roman" w:cs="Times New Roman"/>
                <w:b/>
                <w:sz w:val="28"/>
                <w:szCs w:val="28"/>
              </w:rPr>
              <w:t>施工期环境影响分析</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本项目施工期施工内容包括场地平整、基础开挖、结构施工、装修及设备施工、公用工程和绿化等，主要污染因素有施工扬尘、施工废水、施工噪声、施工固体废弃物及生态破坏等。</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7.1.1施工期水</w:t>
            </w:r>
            <w:r>
              <w:rPr>
                <w:rFonts w:ascii="Times New Roman" w:hAnsi="Times New Roman" w:cs="Times New Roman"/>
                <w:b/>
                <w:sz w:val="24"/>
              </w:rPr>
              <w:t>环境影响分析</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（1）施工生活污水环境影响分析</w:t>
            </w:r>
          </w:p>
          <w:p>
            <w:pPr>
              <w:pStyle w:val="36"/>
              <w:ind w:firstLine="480"/>
              <w:rPr>
                <w:rFonts w:ascii="Times New Roman" w:hAnsi="Times New Roman" w:cs="Times New Roman"/>
                <w:color w:val="auto"/>
                <w:kern w:val="0"/>
              </w:rPr>
            </w:pPr>
            <w:r>
              <w:rPr>
                <w:rFonts w:ascii="Times New Roman" w:hAnsi="Times New Roman" w:cs="Times New Roman"/>
                <w:color w:val="auto"/>
                <w:kern w:val="0"/>
              </w:rPr>
              <w:t>根据工程分析，本项目施工期预计施工作业人数为</w:t>
            </w:r>
            <w:r>
              <w:rPr>
                <w:rFonts w:hint="eastAsia" w:ascii="Times New Roman" w:hAnsi="Times New Roman" w:cs="Times New Roman"/>
                <w:color w:val="auto"/>
                <w:kern w:val="0"/>
              </w:rPr>
              <w:t>10</w:t>
            </w:r>
            <w:r>
              <w:rPr>
                <w:rFonts w:ascii="Times New Roman" w:hAnsi="Times New Roman" w:cs="Times New Roman"/>
                <w:color w:val="auto"/>
                <w:kern w:val="0"/>
              </w:rPr>
              <w:t>人，施工作业天数</w:t>
            </w:r>
            <w:r>
              <w:rPr>
                <w:rFonts w:hint="eastAsia" w:ascii="Times New Roman" w:hAnsi="Times New Roman" w:cs="Times New Roman"/>
                <w:color w:val="auto"/>
                <w:kern w:val="0"/>
              </w:rPr>
              <w:t>90</w:t>
            </w:r>
            <w:r>
              <w:rPr>
                <w:rFonts w:ascii="Times New Roman" w:hAnsi="Times New Roman" w:cs="Times New Roman"/>
                <w:color w:val="auto"/>
                <w:kern w:val="0"/>
              </w:rPr>
              <w:t>天，</w:t>
            </w:r>
            <w:r>
              <w:rPr>
                <w:rFonts w:ascii="Times New Roman" w:hAnsi="Times New Roman" w:cs="Times New Roman"/>
                <w:color w:val="auto"/>
              </w:rPr>
              <w:t>施工期生活污水产生量为</w:t>
            </w:r>
            <w:r>
              <w:rPr>
                <w:rFonts w:hint="eastAsia" w:ascii="Times New Roman" w:hAnsi="Times New Roman" w:cs="Times New Roman"/>
                <w:color w:val="auto"/>
              </w:rPr>
              <w:t>0.36</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/d，共计</w:t>
            </w:r>
            <w:r>
              <w:rPr>
                <w:rFonts w:hint="eastAsia" w:ascii="Times New Roman" w:hAnsi="Times New Roman" w:cs="Times New Roman"/>
                <w:color w:val="auto"/>
              </w:rPr>
              <w:t>32.4</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。生活污水中主要污染物为BOD</w:t>
            </w:r>
            <w:r>
              <w:rPr>
                <w:rFonts w:ascii="Times New Roman" w:hAnsi="Times New Roman" w:cs="Times New Roman"/>
                <w:color w:val="auto"/>
                <w:vertAlign w:val="subscript"/>
              </w:rPr>
              <w:t>5</w:t>
            </w:r>
            <w:r>
              <w:rPr>
                <w:rFonts w:ascii="Times New Roman" w:hAnsi="Times New Roman" w:cs="Times New Roman"/>
                <w:color w:val="auto"/>
              </w:rPr>
              <w:t>、COD</w:t>
            </w:r>
            <w:r>
              <w:rPr>
                <w:rFonts w:ascii="Times New Roman" w:hAnsi="Times New Roman" w:cs="Times New Roman"/>
                <w:color w:val="auto"/>
                <w:vertAlign w:val="subscript"/>
              </w:rPr>
              <w:t>Cr</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-N、SS、动植物油等</w:t>
            </w:r>
            <w:r>
              <w:rPr>
                <w:rFonts w:hint="eastAsia" w:ascii="Times New Roman" w:hAnsi="Times New Roman" w:cs="Times New Roman"/>
                <w:color w:val="auto"/>
              </w:rPr>
              <w:t>。施工期生活污水经化粪池处理后用于周边菜地和农田浇灌，对周边环境影响不大。</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（2）施工废水环境影响分析</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施工废水主要包括开挖产生的泥浆水、机械设备运转的冷却水和洗涤水、施工机械运转与维修过程中产生的含油污水、建材清洗废水及运输车辆的冲洗水等，此外，暴雨地表径流冲刷施工现场浮土、建筑砂石、垃圾、弃土等将产生夹带大量泥砂、油类等各种污染物的污水。根据工程分析，施工期施工废水主要污染因子是SS（400～1200mg/L）和石油类（5～10mg/L），由于油污消解时间长，且有一定的渗透能力，对附近水体可能会造成影响，必须加强管理。</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本评价要求项目在施工区域内修建临时隔油沉淀池，施工废水经预处理后后用于抑制建筑扬尘；沉淀池内淤泥必须定期清理，及时运往垃圾场清运场处置。对暴雨径流设置小的围堰和拦砂坝，使泥沙沉积；须加强施工区域的表明覆盖，减少暴雨侵蚀；对其进行截流后集中进行临时性隔油沉淀处理，再循环使用于场内洒水抑尘。严禁将泥浆水直接排入周边水体。</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（3）施工期废水污染防治措施及建议</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①施工人员排放的生活污水，应经化粪池处理后用于周边菜地和农田浇灌，不得直接排放至周边水体。</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②施工养护水、运输车清洗处设置沉淀池。产生的废水排入沉淀池内，经沉淀处理 后可回收利用、用于洒水降尘。未经处理的泥浆水，严禁直接外排。</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③在施工场地四周设置集水沟，收集施工现场排放的混凝土养护水、渗漏水等建筑废水，经沉淀处理后可回用于施工现场的洒水抑尘，未经处理的养护水、渗漏水，严禁直接排放。</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④施工机械定点冲洗，并在冲洗场地内设置集水沟和简易有效的隔油池，将机械冲 洗等含油废水进行收集、除油处理达标后回用于洒水抑尘或建筑养护。</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⑤施工现场的所有临时废水收集设施、处理设施均需采取防渗措施。</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⑥建筑材料需集中堆放，并采取一定的防雨淋措施，及时清扫施工运输工程中抛洒的上述建筑材料，以免这些物质随雨水冲刷污染附近水体。</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⑦有关施工现场水环境污染防治的其它措施按照《建设工程施工现场环境保护工作 基本标准》执行。</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综上所述，施工期生活污水经化粪池处理后用作农肥，施工废水经处理后回用于施工现场洒水抑尘，废水不外排，本项目施工期对水环境不会造成明显影响。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7.1.2施工期大气</w:t>
            </w:r>
            <w:r>
              <w:rPr>
                <w:rFonts w:ascii="Times New Roman" w:hAnsi="Times New Roman" w:cs="Times New Roman"/>
                <w:b/>
                <w:sz w:val="24"/>
              </w:rPr>
              <w:t>环境影响分析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施工期大气污染主要为施工区土石方开挖与填筑产生的粉尘、汽车运输产生的扬尘、燃油机械产生的尾气、房屋装修废气等。</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（1）施工粉尘和扬尘环境影响分析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扬尘来源于各颗粒物无组织排放源，土方挖掘填埋，物料堆存，建筑材料（尤其是袋装水泥）的装卸、搬运、使用，以及运料车辆的出入等，都易产生扬尘污染。一般来说，建筑工地扬尘对大气的影响范围主要在工地围墙外</w:t>
            </w:r>
            <w:r>
              <w:rPr>
                <w:rFonts w:ascii="Times New Roman" w:hAnsi="Times New Roman" w:cs="Times New Roman"/>
                <w:color w:val="auto"/>
                <w:kern w:val="0"/>
                <w:szCs w:val="22"/>
              </w:rPr>
              <w:t>100m</w:t>
            </w:r>
            <w:r>
              <w:rPr>
                <w:rFonts w:hint="eastAsia" w:ascii="Times New Roman" w:hAnsi="Times New Roman" w:cs="Times New Roman"/>
                <w:color w:val="auto"/>
                <w:kern w:val="0"/>
                <w:szCs w:val="22"/>
              </w:rPr>
              <w:t>以内。由于距离的不同，其污染影响程度亦不同。在扬尘点下风向</w:t>
            </w:r>
            <w:r>
              <w:rPr>
                <w:rFonts w:ascii="Times New Roman" w:hAnsi="Times New Roman" w:cs="Times New Roman"/>
                <w:color w:val="auto"/>
                <w:kern w:val="0"/>
                <w:szCs w:val="22"/>
              </w:rPr>
              <w:t>0</w:t>
            </w:r>
            <w:r>
              <w:rPr>
                <w:rFonts w:hint="eastAsia" w:ascii="Times New Roman" w:hAnsi="Times New Roman" w:cs="Times New Roman"/>
                <w:color w:val="auto"/>
                <w:kern w:val="0"/>
                <w:szCs w:val="22"/>
              </w:rPr>
              <w:t>～</w:t>
            </w:r>
            <w:r>
              <w:rPr>
                <w:rFonts w:ascii="Times New Roman" w:hAnsi="Times New Roman" w:cs="Times New Roman"/>
                <w:color w:val="auto"/>
                <w:kern w:val="0"/>
                <w:szCs w:val="22"/>
              </w:rPr>
              <w:t>50m</w:t>
            </w:r>
            <w:r>
              <w:rPr>
                <w:rFonts w:hint="eastAsia" w:ascii="Times New Roman" w:hAnsi="Times New Roman" w:cs="Times New Roman"/>
                <w:color w:val="auto"/>
                <w:kern w:val="0"/>
                <w:szCs w:val="22"/>
              </w:rPr>
              <w:t>为重污染带，</w:t>
            </w:r>
            <w:r>
              <w:rPr>
                <w:rFonts w:ascii="Times New Roman" w:hAnsi="Times New Roman" w:cs="Times New Roman"/>
                <w:color w:val="auto"/>
                <w:kern w:val="0"/>
                <w:szCs w:val="22"/>
              </w:rPr>
              <w:t>50</w:t>
            </w:r>
            <w:r>
              <w:rPr>
                <w:rFonts w:hint="eastAsia" w:ascii="Times New Roman" w:hAnsi="Times New Roman" w:cs="Times New Roman"/>
                <w:color w:val="auto"/>
                <w:kern w:val="0"/>
                <w:szCs w:val="22"/>
              </w:rPr>
              <w:t>～</w:t>
            </w:r>
            <w:r>
              <w:rPr>
                <w:rFonts w:ascii="Times New Roman" w:hAnsi="Times New Roman" w:cs="Times New Roman"/>
                <w:color w:val="auto"/>
                <w:kern w:val="0"/>
                <w:szCs w:val="22"/>
              </w:rPr>
              <w:t>100m</w:t>
            </w:r>
            <w:r>
              <w:rPr>
                <w:rFonts w:hint="eastAsia" w:ascii="Times New Roman" w:hAnsi="Times New Roman" w:cs="Times New Roman"/>
                <w:color w:val="auto"/>
                <w:kern w:val="0"/>
                <w:szCs w:val="22"/>
              </w:rPr>
              <w:t>为较重污染带，</w:t>
            </w:r>
            <w:r>
              <w:rPr>
                <w:rFonts w:ascii="Times New Roman" w:hAnsi="Times New Roman" w:cs="Times New Roman"/>
                <w:color w:val="auto"/>
                <w:kern w:val="0"/>
                <w:szCs w:val="22"/>
              </w:rPr>
              <w:t>100</w:t>
            </w:r>
            <w:r>
              <w:rPr>
                <w:rFonts w:hint="eastAsia" w:ascii="Times New Roman" w:hAnsi="Times New Roman" w:cs="Times New Roman"/>
                <w:color w:val="auto"/>
                <w:kern w:val="0"/>
                <w:szCs w:val="22"/>
              </w:rPr>
              <w:t>～</w:t>
            </w:r>
            <w:r>
              <w:rPr>
                <w:rFonts w:ascii="Times New Roman" w:hAnsi="Times New Roman" w:cs="Times New Roman"/>
                <w:color w:val="auto"/>
                <w:kern w:val="0"/>
                <w:szCs w:val="22"/>
              </w:rPr>
              <w:t>200m</w:t>
            </w:r>
            <w:r>
              <w:rPr>
                <w:rFonts w:hint="eastAsia" w:ascii="Times New Roman" w:hAnsi="Times New Roman" w:cs="Times New Roman"/>
                <w:color w:val="auto"/>
                <w:kern w:val="0"/>
                <w:szCs w:val="22"/>
              </w:rPr>
              <w:t>为轻污染带，</w:t>
            </w:r>
            <w:r>
              <w:rPr>
                <w:rFonts w:ascii="Times New Roman" w:hAnsi="Times New Roman" w:cs="Times New Roman"/>
                <w:color w:val="auto"/>
                <w:kern w:val="0"/>
                <w:szCs w:val="22"/>
              </w:rPr>
              <w:t>200m</w:t>
            </w:r>
            <w:r>
              <w:rPr>
                <w:rFonts w:hint="eastAsia" w:ascii="Times New Roman" w:hAnsi="Times New Roman" w:cs="Times New Roman"/>
                <w:color w:val="auto"/>
                <w:kern w:val="0"/>
                <w:szCs w:val="22"/>
              </w:rPr>
              <w:t>以外对大气影响甚微。施工单位采取洒水降尘措施后，施工扬尘将明显减少。</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本项目周边20</w:t>
            </w:r>
            <w:r>
              <w:rPr>
                <w:rFonts w:ascii="Times New Roman" w:hAnsi="Times New Roman" w:cs="Times New Roman"/>
                <w:color w:val="auto"/>
                <w:kern w:val="0"/>
                <w:szCs w:val="22"/>
              </w:rPr>
              <w:t>0m</w:t>
            </w:r>
            <w:r>
              <w:rPr>
                <w:rFonts w:hint="eastAsia" w:ascii="Times New Roman" w:hAnsi="Times New Roman" w:cs="Times New Roman"/>
                <w:color w:val="auto"/>
                <w:kern w:val="0"/>
                <w:szCs w:val="22"/>
              </w:rPr>
              <w:t>范围内的主要的大气环境保护目标为项目北面的堂冲坳居民点（1户，最近距离约70m）和南面的龙新村长冲居民点（3户，最近距离约140m），因相隔距离较近，施工扬尘对以上敏感点有一定影响。为减少施工扬尘对工程建设地环境空气质量和环保目标的影响，施工时应采取路面洒水、堆场覆盖、对撒落在路面的尘土及时清扫等防治措施减少施工扬尘对周围环境和环保目标的影响。</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本项目在施工过程中，必须严格落实防尘措施，如用塑料编织布围栏、经常洒水保持表土湿润，运输车辆加盖帆布等，采取上述措施后，扬尘的影响范围基本上可控制在</w:t>
            </w:r>
            <w:r>
              <w:rPr>
                <w:rFonts w:ascii="Times New Roman" w:hAnsi="Times New Roman" w:cs="Times New Roman"/>
                <w:color w:val="auto"/>
                <w:kern w:val="0"/>
                <w:szCs w:val="22"/>
              </w:rPr>
              <w:t>50m</w:t>
            </w:r>
            <w:r>
              <w:rPr>
                <w:rFonts w:hint="eastAsia" w:ascii="Times New Roman" w:hAnsi="Times New Roman" w:cs="Times New Roman"/>
                <w:color w:val="auto"/>
                <w:kern w:val="0"/>
                <w:szCs w:val="22"/>
              </w:rPr>
              <w:t>以内。此外，在各个环境敏感点处再采取适应的防尘措施，如在与敏感点之间设置防尘屏障，通常在项目场界边沿设置围墙、隔板等，再加上各敏感点在施工时间将门窗关锁紧闭，即可将施工扬尘的影响最小化。</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（2）施工机械燃油废气环境影响分析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车辆、挖掘机、空压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本项目施工工程量不大，机械燃油废气对周边环境的影响很小，受这类废气影响的对象主要为现场施工人员。</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（3）房屋装修废气环境影响分析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本项目室内装修阶段对环境产生污染的材料主要是人造板、饰面人造板以及油漆等有机溶剂（主要有溶剂型涂料、溶剂型胶粘剂，水性阻燃剂、防水剂、防腐剂、防虫剂等）。其主要污染因子为甲苯和二甲苯，此外还有极少量的汽油、丁醇和丙醇等。</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装修阶段向周围环境空气排放的甲苯和二甲苯排放时间和部位不能十分明确，各 装修阶段随机性大，时间跨度较长。因此，在装修和营运期间，应加强室内的通风换气。建筑物装修阶段，室内环境污染控制应遵守住宅装修工程施工规范，符合《民用建筑工程室内环境污染控制规范》的有关规定，同时设计、施工中尽量采用低毒、低污染的环保型装修材料。通过采取上述措施，可在一定程度上降低装修废气的环境影响。</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（4）施工期废气污染防治措施及建议</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施工期间，项目应按照《防治城市扬尘污染技术规范》（HJ/T 393-2007）等相关标准和技术规范的要求做好施工期废气污染防治工作。</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① 施工单位必须使用污染物排放符合国家标准的运输车辆和施工设备，做到尾气达标排放；同时加强机械设备的保养与合理操作，减少其废气的排放量；使用低硫柴油，减少污染物排放。</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② 施工场地应定时洒水，防止扬尘产生；对重点扬尘点（如挖、填土方、装运土、卸灰等处）应进行局部降尘；使用商品混凝土，施工场地内不得设置混凝土搅拌站；施工场地内运输通道及时清扫、冲洗，以减少汽车行驶扬尘。</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③ 谨防运输车辆装载过满，不得超出车厢板高度，并采取遮盖、密闭措施减少沿途抛洒、散落；及时清扫散落在路面上的泥土和建筑材料，在物料、渣土、垃圾运输车辆的出口内侧设置洗车平台，对出入车辆进行清洗，车辆不得带泥砂出现场。</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④ 开挖的土方及产生的建筑垃圾作为绿化场地的抬高土，及时进行利用，以防因长期堆放表面干燥而起尘，对作业面和材料、建筑垃圾等堆放场地定期洒水，使其保持一定的湿度，以减少扬尘量。</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⑤ 施工现场要进行围栏或设置屏障，在工地建筑结构脚手架外侧设计有效抑尘的密目防尘网（不低于2000目/100cm</w:t>
            </w:r>
            <w:r>
              <w:rPr>
                <w:rFonts w:ascii="Times New Roman" w:hAnsi="Times New Roman" w:cs="Times New Roman"/>
                <w:color w:val="auto"/>
                <w:kern w:val="0"/>
                <w:szCs w:val="22"/>
                <w:vertAlign w:val="superscript"/>
              </w:rPr>
              <w:t>2</w:t>
            </w:r>
            <w:r>
              <w:rPr>
                <w:rFonts w:hint="eastAsia" w:ascii="Times New Roman" w:hAnsi="Times New Roman" w:cs="Times New Roman"/>
                <w:color w:val="auto"/>
                <w:kern w:val="0"/>
                <w:szCs w:val="22"/>
              </w:rPr>
              <w:t>）或防尘布，以缩小施工扬尘扩散范围，当出现风速过大或不利天气状况时应停止施工作业，并对堆存的砂粉建筑材料进行遮盖；</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⑥ 合理安排工期，尽可能地加快施工速度，减少施工时间。</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⑦ 根据《中华人民共和国大气污染防治法》建设单位须将防治扬尘污染的费用列入工程造价，并在施工承包合同中明确施工单位扬尘污染防治责任，施工单位须制定具体的施工扬尘污染防治实施方案。从事房屋建筑、市政基础设施建设等施工单位，须向负责监督管理扬尘污染防治的主管部门备案。</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7.1.3施工期声</w:t>
            </w:r>
            <w:r>
              <w:rPr>
                <w:rFonts w:ascii="Times New Roman" w:hAnsi="Times New Roman" w:cs="Times New Roman"/>
                <w:b/>
                <w:sz w:val="24"/>
              </w:rPr>
              <w:t>环境影响分析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（1）噪声源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本项目施工期需使用空压机、振捣器、运输车辆及其他施工机械设备，施工中的施工机械和设备作业时不可避免地产生建筑施工噪声，该声源具有噪声高、无规则等特点，多为瞬时噪声，在一定范围内将对周边声环境产生一定的影响。另外，施工过程中各种运输车辆的行驶，将会引起道路沿线的噪声级增加，对沿线声环境有一定影响。</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（2）噪声预测和结果分析</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在环境噪声预测中各噪声源作为点声源处理，根据《环境影响评价技术导则 声环境》（</w:t>
            </w:r>
            <w:r>
              <w:rPr>
                <w:rFonts w:ascii="Times New Roman" w:hAnsi="Times New Roman" w:cs="Times New Roman"/>
                <w:color w:val="auto"/>
                <w:kern w:val="0"/>
              </w:rPr>
              <w:t>HJ 2.4-2009</w:t>
            </w:r>
            <w:r>
              <w:rPr>
                <w:rFonts w:hint="eastAsia" w:ascii="Times New Roman" w:hAnsi="Times New Roman" w:cs="Times New Roman"/>
                <w:color w:val="auto"/>
                <w:kern w:val="0"/>
              </w:rPr>
              <w:t>），点声源的几何发散衰减公式为</w:t>
            </w:r>
            <w:r>
              <w:rPr>
                <w:rFonts w:ascii="Times New Roman" w:hAnsi="Times New Roman" w:cs="Times New Roman"/>
                <w:color w:val="auto"/>
                <w:kern w:val="0"/>
                <w:position w:val="-32"/>
              </w:rPr>
              <w:object>
                <v:shape id="_x0000_i1043" o:spt="75" type="#_x0000_t75" style="height:38pt;width:135pt;" o:ole="t" filled="f" o:preferrelative="t" stroked="f" coordsize="21600,21600">
                  <v:path/>
                  <v:fill on="f" focussize="0,0"/>
                  <v:stroke on="f" joinstyle="miter"/>
                  <v:imagedata r:id="rId39" o:title=""/>
                  <o:lock v:ext="edit" aspectratio="t"/>
                  <w10:wrap type="none"/>
                  <w10:anchorlock/>
                </v:shape>
                <o:OLEObject Type="Embed" ProgID="Equation.DSMT4" ShapeID="_x0000_i1043" DrawAspect="Content" ObjectID="_1468075739" r:id="rId38">
                  <o:LockedField>false</o:LockedField>
                </o:OLEObject>
              </w:object>
            </w:r>
            <w:r>
              <w:rPr>
                <w:rFonts w:hint="eastAsia" w:ascii="Times New Roman" w:hAnsi="Times New Roman" w:cs="Times New Roman"/>
                <w:color w:val="auto"/>
                <w:kern w:val="0"/>
              </w:rPr>
              <w:t>，式中</w:t>
            </w:r>
            <w:r>
              <w:rPr>
                <w:rFonts w:ascii="Times New Roman" w:hAnsi="Times New Roman" w:cs="Times New Roman"/>
                <w:color w:val="auto"/>
                <w:kern w:val="0"/>
                <w:position w:val="-14"/>
              </w:rPr>
              <w:object>
                <v:shape id="_x0000_i1044" o:spt="75" type="#_x0000_t75" style="height:20pt;width:31.95pt;" o:ole="t" filled="f" o:preferrelative="t" stroked="f" coordsize="21600,21600">
                  <v:path/>
                  <v:fill on="f" focussize="0,0"/>
                  <v:stroke on="f" joinstyle="miter"/>
                  <v:imagedata r:id="rId41" o:title=""/>
                  <o:lock v:ext="edit" aspectratio="t"/>
                  <w10:wrap type="none"/>
                  <w10:anchorlock/>
                </v:shape>
                <o:OLEObject Type="Embed" ProgID="Equation.DSMT4" ShapeID="_x0000_i1044" DrawAspect="Content" ObjectID="_1468075740" r:id="rId40">
                  <o:LockedField>false</o:LockedField>
                </o:OLEObject>
              </w:object>
            </w:r>
            <w:r>
              <w:rPr>
                <w:rFonts w:hint="eastAsia" w:ascii="Times New Roman" w:hAnsi="Times New Roman" w:cs="Times New Roman"/>
                <w:color w:val="auto"/>
                <w:kern w:val="0"/>
              </w:rPr>
              <w:t>为评价点噪声预测值，r为与声源距离。</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根据上述噪声衰减模式，项目主要施工设备噪声衰减计算如下：</w:t>
            </w:r>
          </w:p>
          <w:p>
            <w:pPr>
              <w:spacing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施工机械噪声源强及其对不同距离声环境影响预测结果</w:t>
            </w:r>
          </w:p>
          <w:p>
            <w:pPr>
              <w:widowControl/>
              <w:ind w:right="315" w:rightChars="150"/>
              <w:jc w:val="right"/>
              <w:rPr>
                <w:rFonts w:ascii="黑体" w:hAnsi="黑体" w:eastAsia="黑体" w:cs="黑体"/>
                <w:szCs w:val="21"/>
              </w:rPr>
            </w:pPr>
            <w:r>
              <w:rPr>
                <w:rFonts w:hint="eastAsia" w:ascii="黑体" w:hAnsi="黑体" w:eastAsia="黑体" w:cs="黑体"/>
                <w:szCs w:val="21"/>
              </w:rPr>
              <w:t>单位：dB（A）</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9"/>
              <w:gridCol w:w="867"/>
              <w:gridCol w:w="868"/>
              <w:gridCol w:w="867"/>
              <w:gridCol w:w="868"/>
              <w:gridCol w:w="867"/>
              <w:gridCol w:w="868"/>
              <w:gridCol w:w="867"/>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trPr>
              <w:tc>
                <w:tcPr>
                  <w:tcW w:w="1259" w:type="dxa"/>
                  <w:tcBorders>
                    <w:tl2br w:val="single" w:color="auto" w:sz="4" w:space="0"/>
                  </w:tcBorders>
                  <w:vAlign w:val="center"/>
                </w:tcPr>
                <w:p>
                  <w:pPr>
                    <w:pStyle w:val="47"/>
                    <w:spacing w:line="240" w:lineRule="auto"/>
                    <w:jc w:val="right"/>
                    <w:rPr>
                      <w:rFonts w:ascii="Times New Roman" w:hAnsi="Times New Roman" w:cs="Times New Roman"/>
                      <w:b/>
                      <w:bCs/>
                      <w:szCs w:val="21"/>
                    </w:rPr>
                  </w:pPr>
                  <w:r>
                    <w:rPr>
                      <w:rFonts w:hint="eastAsia" w:ascii="Times New Roman" w:hAnsi="Times New Roman" w:cs="Times New Roman"/>
                      <w:b/>
                      <w:bCs/>
                      <w:szCs w:val="21"/>
                    </w:rPr>
                    <w:t xml:space="preserve">距离 </w:t>
                  </w:r>
                </w:p>
                <w:p>
                  <w:pPr>
                    <w:pStyle w:val="47"/>
                    <w:spacing w:line="240" w:lineRule="auto"/>
                    <w:jc w:val="left"/>
                    <w:rPr>
                      <w:rFonts w:ascii="Times New Roman" w:hAnsi="Times New Roman" w:cs="Times New Roman"/>
                      <w:b/>
                      <w:bCs/>
                      <w:szCs w:val="21"/>
                    </w:rPr>
                  </w:pPr>
                  <w:r>
                    <w:rPr>
                      <w:rFonts w:hint="eastAsia" w:ascii="Times New Roman" w:hAnsi="Times New Roman" w:cs="Times New Roman"/>
                      <w:b/>
                      <w:bCs/>
                      <w:szCs w:val="21"/>
                    </w:rPr>
                    <w:t xml:space="preserve"> 设备</w:t>
                  </w:r>
                </w:p>
              </w:tc>
              <w:tc>
                <w:tcPr>
                  <w:tcW w:w="867"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源强</w:t>
                  </w:r>
                </w:p>
              </w:tc>
              <w:tc>
                <w:tcPr>
                  <w:tcW w:w="868"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10m</w:t>
                  </w:r>
                </w:p>
              </w:tc>
              <w:tc>
                <w:tcPr>
                  <w:tcW w:w="867"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20m</w:t>
                  </w:r>
                </w:p>
              </w:tc>
              <w:tc>
                <w:tcPr>
                  <w:tcW w:w="868"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40m</w:t>
                  </w:r>
                </w:p>
              </w:tc>
              <w:tc>
                <w:tcPr>
                  <w:tcW w:w="867"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60m</w:t>
                  </w:r>
                </w:p>
              </w:tc>
              <w:tc>
                <w:tcPr>
                  <w:tcW w:w="868"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80m</w:t>
                  </w:r>
                </w:p>
              </w:tc>
              <w:tc>
                <w:tcPr>
                  <w:tcW w:w="867"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100m</w:t>
                  </w:r>
                </w:p>
              </w:tc>
              <w:tc>
                <w:tcPr>
                  <w:tcW w:w="868"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150m</w:t>
                  </w:r>
                </w:p>
              </w:tc>
              <w:tc>
                <w:tcPr>
                  <w:tcW w:w="868" w:type="dxa"/>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挖土机</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96</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68.0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62.0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56.0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52.4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49.9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48.0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44.5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空压机</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85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57.0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51.0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45.0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41.4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38.9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37.0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33.5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载重汽车</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89</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61.0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55.0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49.0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45.4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42.9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41.0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37.5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振捣器</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105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77.0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71.0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65.0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61.4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58.9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57.0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53.5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混凝土泵</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95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67.0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61.0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55.0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51.4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48.9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47.0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43.5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Cs w:val="21"/>
                    </w:rPr>
                  </w:pPr>
                  <w:r>
                    <w:rPr>
                      <w:rFonts w:hint="eastAsia"/>
                      <w:szCs w:val="21"/>
                    </w:rPr>
                    <w:t>卷扬机</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88</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60.0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54.0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48.0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44.4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41.9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40.0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36.5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259" w:type="dxa"/>
                  <w:vAlign w:val="center"/>
                </w:tcPr>
                <w:p>
                  <w:pPr>
                    <w:jc w:val="center"/>
                    <w:rPr>
                      <w:rFonts w:ascii="宋体" w:hAnsi="宋体" w:eastAsia="宋体" w:cs="宋体"/>
                      <w:sz w:val="22"/>
                      <w:szCs w:val="22"/>
                    </w:rPr>
                  </w:pPr>
                  <w:r>
                    <w:rPr>
                      <w:rFonts w:hint="eastAsia"/>
                      <w:sz w:val="22"/>
                      <w:szCs w:val="22"/>
                    </w:rPr>
                    <w:t>角向磨光机</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109</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81.0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75.0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69.0</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65.4</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62.9</w:t>
                  </w:r>
                </w:p>
              </w:tc>
              <w:tc>
                <w:tcPr>
                  <w:tcW w:w="867" w:type="dxa"/>
                  <w:vAlign w:val="center"/>
                </w:tcPr>
                <w:p>
                  <w:pPr>
                    <w:jc w:val="center"/>
                    <w:rPr>
                      <w:rFonts w:ascii="Times New Roman" w:hAnsi="Times New Roman" w:eastAsia="宋体" w:cs="Times New Roman"/>
                      <w:szCs w:val="21"/>
                    </w:rPr>
                  </w:pPr>
                  <w:r>
                    <w:rPr>
                      <w:rFonts w:ascii="Times New Roman" w:hAnsi="Times New Roman" w:cs="Times New Roman"/>
                      <w:szCs w:val="21"/>
                    </w:rPr>
                    <w:t>61.0</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57.5</w:t>
                  </w:r>
                </w:p>
              </w:tc>
              <w:tc>
                <w:tcPr>
                  <w:tcW w:w="868" w:type="dxa"/>
                  <w:vAlign w:val="center"/>
                </w:tcPr>
                <w:p>
                  <w:pPr>
                    <w:jc w:val="center"/>
                    <w:rPr>
                      <w:rFonts w:ascii="Times New Roman" w:hAnsi="Times New Roman" w:eastAsia="宋体" w:cs="Times New Roman"/>
                      <w:szCs w:val="21"/>
                    </w:rPr>
                  </w:pPr>
                  <w:r>
                    <w:rPr>
                      <w:rFonts w:ascii="Times New Roman" w:hAnsi="Times New Roman" w:cs="Times New Roman"/>
                      <w:szCs w:val="21"/>
                    </w:rPr>
                    <w:t>55.0</w:t>
                  </w:r>
                </w:p>
              </w:tc>
            </w:tr>
          </w:tbl>
          <w:p>
            <w:pPr>
              <w:pStyle w:val="36"/>
              <w:ind w:firstLine="480"/>
              <w:rPr>
                <w:rFonts w:ascii="Times New Roman" w:hAnsi="Times New Roman" w:cs="Times New Roman"/>
                <w:color w:val="auto"/>
                <w:kern w:val="0"/>
              </w:rPr>
            </w:pPr>
            <w:r>
              <w:rPr>
                <w:rFonts w:ascii="Times New Roman" w:hAnsi="Times New Roman" w:cs="Times New Roman"/>
                <w:color w:val="auto"/>
                <w:kern w:val="0"/>
              </w:rPr>
              <w:t>由上表可知，一般施工机械在厂区中心施工时</w:t>
            </w:r>
            <w:r>
              <w:rPr>
                <w:rFonts w:hint="eastAsia" w:ascii="Times New Roman" w:hAnsi="Times New Roman" w:cs="Times New Roman"/>
                <w:color w:val="auto"/>
                <w:kern w:val="0"/>
              </w:rPr>
              <w:t>施工噪声</w:t>
            </w:r>
            <w:r>
              <w:rPr>
                <w:rFonts w:ascii="Times New Roman" w:hAnsi="Times New Roman" w:cs="Times New Roman"/>
                <w:color w:val="auto"/>
                <w:kern w:val="0"/>
              </w:rPr>
              <w:t>对场界外影响很小，但在场界附近施工时，</w:t>
            </w:r>
            <w:r>
              <w:rPr>
                <w:rFonts w:hint="eastAsia" w:ascii="Times New Roman" w:hAnsi="Times New Roman" w:cs="Times New Roman"/>
                <w:color w:val="auto"/>
                <w:kern w:val="0"/>
              </w:rPr>
              <w:t>在未采取围障措施的情况下，施工噪声</w:t>
            </w:r>
            <w:r>
              <w:rPr>
                <w:rFonts w:ascii="Times New Roman" w:hAnsi="Times New Roman" w:cs="Times New Roman"/>
                <w:color w:val="auto"/>
                <w:kern w:val="0"/>
              </w:rPr>
              <w:t>昼间影响范围达到</w:t>
            </w:r>
            <w:r>
              <w:rPr>
                <w:rFonts w:hint="eastAsia" w:ascii="Times New Roman" w:hAnsi="Times New Roman" w:cs="Times New Roman"/>
                <w:color w:val="auto"/>
                <w:kern w:val="0"/>
              </w:rPr>
              <w:t>8</w:t>
            </w:r>
            <w:r>
              <w:rPr>
                <w:rFonts w:ascii="Times New Roman" w:hAnsi="Times New Roman" w:cs="Times New Roman"/>
                <w:color w:val="auto"/>
                <w:kern w:val="0"/>
              </w:rPr>
              <w:t>0m，夜间影响范围达200m。项目施工区最近的声环境敏感点为</w:t>
            </w:r>
            <w:r>
              <w:rPr>
                <w:rFonts w:hint="eastAsia" w:ascii="Times New Roman" w:hAnsi="Times New Roman" w:cs="Times New Roman"/>
                <w:color w:val="auto"/>
                <w:kern w:val="0"/>
                <w:szCs w:val="22"/>
              </w:rPr>
              <w:t>项目北面的堂冲坳居民点（1户，最近距离约70m）和南面的龙新村长冲居民点（3户，最近距离约140m）</w:t>
            </w:r>
            <w:r>
              <w:rPr>
                <w:rFonts w:ascii="Times New Roman" w:hAnsi="Times New Roman" w:cs="Times New Roman"/>
                <w:color w:val="auto"/>
                <w:kern w:val="0"/>
              </w:rPr>
              <w:t>，施工噪声对其影响有一定的影响</w:t>
            </w:r>
            <w:r>
              <w:rPr>
                <w:rFonts w:hint="eastAsia" w:ascii="Times New Roman" w:hAnsi="Times New Roman" w:cs="Times New Roman"/>
                <w:color w:val="auto"/>
                <w:kern w:val="0"/>
              </w:rPr>
              <w:t>，但因本项目场地与周边居民点之间有山坡阻隔，因此施工期噪声影响可大大降低</w:t>
            </w:r>
            <w:r>
              <w:rPr>
                <w:rFonts w:ascii="Times New Roman" w:hAnsi="Times New Roman" w:cs="Times New Roman"/>
                <w:color w:val="auto"/>
                <w:kern w:val="0"/>
              </w:rPr>
              <w:t>。</w:t>
            </w:r>
          </w:p>
          <w:p>
            <w:pPr>
              <w:pStyle w:val="36"/>
              <w:ind w:firstLine="480"/>
              <w:rPr>
                <w:rFonts w:ascii="Times New Roman" w:hAnsi="Times New Roman" w:cs="Times New Roman"/>
                <w:color w:val="auto"/>
                <w:kern w:val="0"/>
              </w:rPr>
            </w:pPr>
            <w:r>
              <w:rPr>
                <w:rFonts w:ascii="Times New Roman" w:hAnsi="Times New Roman" w:cs="Times New Roman"/>
                <w:color w:val="auto"/>
                <w:kern w:val="0"/>
              </w:rPr>
              <w:t>施工噪声具有阶段性、临时性和不固定性，随着施工阶段的不同，施工噪声影响也不同，施工结束时，施工噪声也自行结束。</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（3）施工期噪声污染控制措施</w:t>
            </w:r>
          </w:p>
          <w:p>
            <w:pPr>
              <w:pStyle w:val="36"/>
              <w:ind w:firstLine="480"/>
              <w:rPr>
                <w:rFonts w:ascii="宋体" w:hAnsi="宋体" w:eastAsia="宋体" w:cs="宋体"/>
                <w:color w:val="auto"/>
                <w:kern w:val="0"/>
              </w:rPr>
            </w:pPr>
            <w:r>
              <w:rPr>
                <w:rFonts w:hint="eastAsia" w:ascii="宋体" w:hAnsi="宋体" w:eastAsia="宋体" w:cs="宋体"/>
                <w:color w:val="auto"/>
                <w:kern w:val="0"/>
              </w:rPr>
              <w:t>本项目</w:t>
            </w:r>
            <w:r>
              <w:rPr>
                <w:rFonts w:hint="eastAsia" w:ascii="Times New Roman" w:hAnsi="Times New Roman" w:cs="Times New Roman"/>
                <w:color w:val="auto"/>
                <w:kern w:val="0"/>
                <w:szCs w:val="22"/>
              </w:rPr>
              <w:t>项目北面的堂冲坳居民点和南面的龙新村长冲居民点与</w:t>
            </w:r>
            <w:r>
              <w:rPr>
                <w:rFonts w:hint="eastAsia" w:ascii="宋体" w:hAnsi="宋体" w:eastAsia="宋体" w:cs="宋体"/>
                <w:color w:val="auto"/>
                <w:kern w:val="0"/>
              </w:rPr>
              <w:t>拟建项目场地均较近，如不加强采取措施，项目施工会对周边居民造成一定的噪声影响。为降低施工噪声对周边居民正常生活的影响。评价要求施工期必须采取严格的降噪措施。</w:t>
            </w:r>
          </w:p>
          <w:p>
            <w:pPr>
              <w:pStyle w:val="36"/>
              <w:ind w:firstLine="480"/>
              <w:rPr>
                <w:rFonts w:ascii="Times New Roman" w:hAnsi="Times New Roman" w:cs="Times New Roman"/>
                <w:color w:val="auto"/>
                <w:kern w:val="0"/>
              </w:rPr>
            </w:pPr>
            <w:r>
              <w:rPr>
                <w:rFonts w:hint="eastAsia" w:ascii="宋体" w:hAnsi="宋体" w:eastAsia="宋体" w:cs="宋体"/>
                <w:color w:val="auto"/>
                <w:kern w:val="0"/>
              </w:rPr>
              <w:t>① 从声源上控制噪声排放，建设单位在与施工单位签订合同时，其要求其</w:t>
            </w:r>
            <w:r>
              <w:rPr>
                <w:rFonts w:ascii="Times New Roman" w:hAnsi="Times New Roman" w:cs="Times New Roman"/>
                <w:color w:val="auto"/>
                <w:kern w:val="0"/>
              </w:rPr>
              <w:t>选用低噪声施工设备</w:t>
            </w:r>
            <w:r>
              <w:rPr>
                <w:rFonts w:hint="eastAsia" w:ascii="Times New Roman" w:hAnsi="Times New Roman" w:cs="Times New Roman"/>
                <w:color w:val="auto"/>
                <w:kern w:val="0"/>
              </w:rPr>
              <w:t>进行施工</w:t>
            </w:r>
            <w:r>
              <w:rPr>
                <w:rFonts w:ascii="Times New Roman" w:hAnsi="Times New Roman" w:cs="Times New Roman"/>
                <w:color w:val="auto"/>
                <w:kern w:val="0"/>
              </w:rPr>
              <w:t>，如以液压机械代替燃油机械，低频振捣器代替高频振捣器等。固定机械设备与挖土、运土机械，如挖土机、推土机等，可以通过排气管消音器和隔离发机振动部件的方法降低噪声。</w:t>
            </w:r>
            <w:r>
              <w:rPr>
                <w:rFonts w:hint="eastAsia" w:ascii="Times New Roman" w:hAnsi="Times New Roman" w:cs="Times New Roman"/>
                <w:color w:val="auto"/>
                <w:kern w:val="0"/>
              </w:rPr>
              <w:t>同时在施工过程中施工单位应设专人对设备进行定期保养和维护，并负责对现场技术人员进行培训，严格按操作规范使用各类机械。</w:t>
            </w:r>
          </w:p>
          <w:p>
            <w:pPr>
              <w:pStyle w:val="36"/>
              <w:ind w:firstLine="480"/>
              <w:rPr>
                <w:rFonts w:ascii="Times New Roman" w:hAnsi="Times New Roman" w:cs="Times New Roman"/>
                <w:color w:val="auto"/>
                <w:kern w:val="0"/>
              </w:rPr>
            </w:pPr>
            <w:r>
              <w:rPr>
                <w:rFonts w:hint="eastAsia" w:ascii="宋体" w:hAnsi="宋体" w:eastAsia="宋体" w:cs="宋体"/>
                <w:color w:val="auto"/>
                <w:kern w:val="0"/>
              </w:rPr>
              <w:t xml:space="preserve">② </w:t>
            </w:r>
            <w:r>
              <w:rPr>
                <w:rFonts w:ascii="Times New Roman" w:hAnsi="Times New Roman" w:cs="Times New Roman"/>
                <w:color w:val="auto"/>
                <w:kern w:val="0"/>
              </w:rPr>
              <w:t>合理</w:t>
            </w:r>
            <w:r>
              <w:rPr>
                <w:rFonts w:hint="eastAsia" w:ascii="Times New Roman" w:hAnsi="Times New Roman" w:cs="Times New Roman"/>
                <w:color w:val="auto"/>
                <w:kern w:val="0"/>
              </w:rPr>
              <w:t>布置和</w:t>
            </w:r>
            <w:r>
              <w:rPr>
                <w:rFonts w:ascii="Times New Roman" w:hAnsi="Times New Roman" w:cs="Times New Roman"/>
                <w:color w:val="auto"/>
                <w:kern w:val="0"/>
              </w:rPr>
              <w:t>安排施工作业，尽量避免多台强噪声施工机械在同一地点同时施工。</w:t>
            </w:r>
          </w:p>
          <w:p>
            <w:pPr>
              <w:pStyle w:val="36"/>
              <w:ind w:firstLine="480"/>
              <w:rPr>
                <w:rFonts w:ascii="Times New Roman" w:hAnsi="Times New Roman" w:cs="Times New Roman"/>
                <w:color w:val="auto"/>
                <w:kern w:val="0"/>
              </w:rPr>
            </w:pPr>
            <w:r>
              <w:rPr>
                <w:rFonts w:hint="eastAsia" w:ascii="宋体" w:hAnsi="宋体" w:eastAsia="宋体" w:cs="宋体"/>
                <w:color w:val="auto"/>
                <w:kern w:val="0"/>
              </w:rPr>
              <w:t xml:space="preserve">③ </w:t>
            </w:r>
            <w:r>
              <w:rPr>
                <w:rFonts w:hint="eastAsia" w:ascii="Times New Roman" w:hAnsi="Times New Roman" w:cs="Times New Roman"/>
                <w:color w:val="auto"/>
                <w:kern w:val="0"/>
              </w:rPr>
              <w:t>加强施工管理，合理安排施工时间，严格遵守《建筑施工场界环境噪声排放标准》（</w:t>
            </w:r>
            <w:r>
              <w:rPr>
                <w:rFonts w:ascii="Times New Roman" w:hAnsi="Times New Roman" w:cs="Times New Roman"/>
                <w:color w:val="auto"/>
                <w:kern w:val="0"/>
              </w:rPr>
              <w:t>GB 12523</w:t>
            </w:r>
            <w:r>
              <w:rPr>
                <w:rFonts w:hint="eastAsia" w:ascii="Times New Roman" w:hAnsi="Times New Roman" w:cs="Times New Roman"/>
                <w:color w:val="auto"/>
                <w:kern w:val="0"/>
              </w:rPr>
              <w:t>-</w:t>
            </w:r>
            <w:r>
              <w:rPr>
                <w:rFonts w:ascii="Times New Roman" w:hAnsi="Times New Roman" w:cs="Times New Roman"/>
                <w:color w:val="auto"/>
                <w:kern w:val="0"/>
              </w:rPr>
              <w:t>2011</w:t>
            </w:r>
            <w:r>
              <w:rPr>
                <w:rFonts w:hint="eastAsia" w:ascii="Times New Roman" w:hAnsi="Times New Roman" w:cs="Times New Roman"/>
                <w:color w:val="auto"/>
                <w:kern w:val="0"/>
              </w:rPr>
              <w:t>）规定要求，避免在中午（</w:t>
            </w:r>
            <w:r>
              <w:rPr>
                <w:rFonts w:ascii="Times New Roman" w:hAnsi="Times New Roman" w:cs="Times New Roman"/>
                <w:color w:val="auto"/>
                <w:kern w:val="0"/>
              </w:rPr>
              <w:t>12:00-14:00</w:t>
            </w:r>
            <w:r>
              <w:rPr>
                <w:rFonts w:hint="eastAsia" w:ascii="Times New Roman" w:hAnsi="Times New Roman" w:cs="Times New Roman"/>
                <w:color w:val="auto"/>
                <w:kern w:val="0"/>
              </w:rPr>
              <w:t>）和夜间（</w:t>
            </w:r>
            <w:r>
              <w:rPr>
                <w:rFonts w:ascii="Times New Roman" w:hAnsi="Times New Roman" w:cs="Times New Roman"/>
                <w:color w:val="auto"/>
                <w:kern w:val="0"/>
              </w:rPr>
              <w:t>22:00-</w:t>
            </w:r>
            <w:r>
              <w:rPr>
                <w:rFonts w:hint="eastAsia" w:ascii="Times New Roman" w:hAnsi="Times New Roman" w:cs="Times New Roman"/>
                <w:color w:val="auto"/>
                <w:kern w:val="0"/>
              </w:rPr>
              <w:t>次日</w:t>
            </w:r>
            <w:r>
              <w:rPr>
                <w:rFonts w:ascii="Times New Roman" w:hAnsi="Times New Roman" w:cs="Times New Roman"/>
                <w:color w:val="auto"/>
                <w:kern w:val="0"/>
              </w:rPr>
              <w:t>6:00</w:t>
            </w:r>
            <w:r>
              <w:rPr>
                <w:rFonts w:hint="eastAsia" w:ascii="Times New Roman" w:hAnsi="Times New Roman" w:cs="Times New Roman"/>
                <w:color w:val="auto"/>
                <w:kern w:val="0"/>
              </w:rPr>
              <w:t>）施工，尽量避免大量高噪声设备同时施工</w:t>
            </w:r>
            <w:r>
              <w:rPr>
                <w:rFonts w:ascii="Times New Roman" w:hAnsi="Times New Roman" w:cs="Times New Roman"/>
                <w:color w:val="auto"/>
                <w:kern w:val="0"/>
              </w:rPr>
              <w:t>，如确因工程施工需要，需向</w:t>
            </w:r>
            <w:r>
              <w:rPr>
                <w:rFonts w:hint="eastAsia" w:ascii="Times New Roman" w:hAnsi="Times New Roman" w:cs="Times New Roman"/>
                <w:color w:val="auto"/>
                <w:kern w:val="0"/>
              </w:rPr>
              <w:t>生态环境主管</w:t>
            </w:r>
            <w:r>
              <w:rPr>
                <w:rFonts w:ascii="Times New Roman" w:hAnsi="Times New Roman" w:cs="Times New Roman"/>
                <w:color w:val="auto"/>
                <w:kern w:val="0"/>
              </w:rPr>
              <w:t>部门经申请夜间施工许可证，批准后方可实施，并需告知附近居民，尽量做到施工建设时噪声对影响区公众的不利影响降至最小。另外，施工过程中业主应充分协调好</w:t>
            </w:r>
            <w:r>
              <w:rPr>
                <w:rFonts w:hint="eastAsia" w:ascii="Times New Roman" w:hAnsi="Times New Roman" w:cs="Times New Roman"/>
                <w:color w:val="auto"/>
                <w:kern w:val="0"/>
              </w:rPr>
              <w:t>与周边居民的</w:t>
            </w:r>
            <w:r>
              <w:rPr>
                <w:rFonts w:ascii="Times New Roman" w:hAnsi="Times New Roman" w:cs="Times New Roman"/>
                <w:color w:val="auto"/>
                <w:kern w:val="0"/>
              </w:rPr>
              <w:t>关系，</w:t>
            </w:r>
            <w:r>
              <w:rPr>
                <w:rFonts w:hint="eastAsia" w:ascii="Times New Roman" w:hAnsi="Times New Roman" w:cs="Times New Roman"/>
                <w:color w:val="auto"/>
                <w:kern w:val="0"/>
              </w:rPr>
              <w:t>取得其谅解，</w:t>
            </w:r>
            <w:r>
              <w:rPr>
                <w:rFonts w:ascii="Times New Roman" w:hAnsi="Times New Roman" w:cs="Times New Roman"/>
                <w:color w:val="auto"/>
                <w:kern w:val="0"/>
              </w:rPr>
              <w:t>确保不发生环境纠纷。</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④ 对各施工环节中噪声较为突出且又难以对声源进行降噪的设备装置，应采取临时围障措施，必要时使用移动式施工隔声屏，使施工机械在隔声屏包围区域内施工，以此达到降噪效果。</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⑤ 避免多台机械同时在项目场界同时施工，必要时在敏感目标外侧设置隔声屏。</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通过采取上述措施，可在一定程度上降低施工期噪声对周边环境的影响。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7.1.4施工期固体废物环境</w:t>
            </w:r>
            <w:r>
              <w:rPr>
                <w:rFonts w:ascii="Times New Roman" w:hAnsi="Times New Roman" w:cs="Times New Roman"/>
                <w:b/>
                <w:sz w:val="24"/>
              </w:rPr>
              <w:t>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（1）影响分析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施工期产生的固体废物主要为建筑物建设过程产生施工弃渣、建筑垃圾、装修固废以及少量施工人员生活垃圾等。</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期基础工程挖土方量与回填土方量工程弃土在场内周转，除就地平衡、用于绿地和道路等建设外，多余弃土运至城建部门指定地点进行填方。按照国家有建筑垃圾处理的相关规定要求，建筑垃圾应运输至市政指定弃土场，严禁乱堆乱放；生活垃圾集中收集，交由环卫部门统一清运处置。</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（2）施工期固体废物污染防治措施和建议</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① </w:t>
            </w:r>
            <w:r>
              <w:rPr>
                <w:rFonts w:ascii="Times New Roman" w:hAnsi="Times New Roman" w:cs="Times New Roman"/>
                <w:color w:val="auto"/>
                <w:kern w:val="0"/>
                <w:szCs w:val="22"/>
              </w:rPr>
              <w:t>在施工过程中施工弃渣均要求集中堆置于临时弃渣场或用于地基填筑，临时弃渣场采取彩条布覆盖等临时防护措施；</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② </w:t>
            </w:r>
            <w:r>
              <w:rPr>
                <w:rFonts w:ascii="Times New Roman" w:hAnsi="Times New Roman" w:cs="Times New Roman"/>
                <w:color w:val="auto"/>
                <w:kern w:val="0"/>
                <w:szCs w:val="22"/>
              </w:rPr>
              <w:t>在施工中应做到规范施工，文明施工，规范运输，施工场地应保持整洁卫生，渣土、弃土要及时清理，及时运走；</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③ </w:t>
            </w:r>
            <w:r>
              <w:rPr>
                <w:rFonts w:ascii="Times New Roman" w:hAnsi="Times New Roman" w:cs="Times New Roman"/>
                <w:color w:val="auto"/>
                <w:kern w:val="0"/>
                <w:szCs w:val="22"/>
              </w:rPr>
              <w:t>对建筑垃圾临时堆放场应采取覆盖措施，避免产生水土流失。</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④ </w:t>
            </w:r>
            <w:r>
              <w:rPr>
                <w:rFonts w:ascii="Times New Roman" w:hAnsi="Times New Roman" w:cs="Times New Roman"/>
                <w:color w:val="auto"/>
                <w:kern w:val="0"/>
                <w:szCs w:val="22"/>
              </w:rPr>
              <w:t>主体工程开挖产生的少量土方集中临时堆放于建筑物周边空隙地用于后期绿化用土，无需土方外运，土方临时堆放场应采取覆盖措施。</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⑤ 施工过程中产生的生活垃圾和装修固废应定点存放、及时收集，回收可利用物质，减量化、资源化后，委托环卫部门清送处置。</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rPr>
              <w:t>通过采取上述措施，可在一定程度上降低施工期固体废物对周边环境的影响。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7.1.5施工期生态环境</w:t>
            </w:r>
            <w:r>
              <w:rPr>
                <w:rFonts w:ascii="Times New Roman" w:hAnsi="Times New Roman" w:cs="Times New Roman"/>
                <w:b/>
                <w:sz w:val="24"/>
              </w:rPr>
              <w:t>影响分析</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（1）施工期生态环境影响</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施工期由于开挖地面、机械碾压、排放废弃物等原因，破坏了原有的地貌和植被，进一步扰动了表土结构，致使土壤抗蚀能力降低。裸露的土壤极易被降雨径流冲刷而产生水土流失，特别是暴雨时冲刷更为严重。由于项目建设区域的地质地貌特点，暴雨冲刷是最为严重的水土流失形式。</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本项目建设地及其附近没有生态环境敏感地区和受保护的动植被，因此，项目建设对植被的影响总体影响较小。随着项目建设的完成、路面硬化、施工后对生态植被的恢复，水土流失将逐渐消除。</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（2）施工期生态保护措施</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① </w:t>
            </w:r>
            <w:r>
              <w:rPr>
                <w:rFonts w:hint="eastAsia" w:ascii="Times New Roman" w:hAnsi="Times New Roman" w:cs="Times New Roman"/>
                <w:color w:val="auto"/>
                <w:kern w:val="0"/>
                <w:szCs w:val="22"/>
              </w:rPr>
              <w:t>根据项目所在地气候和土质条件，选择合适的树种在场地周围一定范围内建立一个绿化带，形成绿色植物的隔离带，这样既可以起到水土保持和防止土壤侵蚀的作用，也可以吸附尘埃、净化空气，还可以美化环境。</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② </w:t>
            </w:r>
            <w:r>
              <w:rPr>
                <w:rFonts w:ascii="Times New Roman" w:hAnsi="Times New Roman" w:cs="Times New Roman"/>
                <w:color w:val="auto"/>
                <w:kern w:val="0"/>
                <w:szCs w:val="22"/>
              </w:rPr>
              <w:t>对于施工产生的建筑垃圾，应选择合适的堆场，并采取覆盖措施，避免造成植被破坏和水土流失；</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③ </w:t>
            </w:r>
            <w:r>
              <w:rPr>
                <w:rFonts w:ascii="Times New Roman" w:hAnsi="Times New Roman" w:cs="Times New Roman"/>
                <w:color w:val="auto"/>
                <w:kern w:val="0"/>
                <w:szCs w:val="22"/>
              </w:rPr>
              <w:t>在土方场地平整后，围墙建设的同时，对道路、堆场等地点进行硬化措施，既起到防治水土流失的目的，也方便后期施工；</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 xml:space="preserve">④ </w:t>
            </w:r>
            <w:r>
              <w:rPr>
                <w:rFonts w:ascii="Times New Roman" w:hAnsi="Times New Roman" w:cs="Times New Roman"/>
                <w:color w:val="auto"/>
                <w:kern w:val="0"/>
                <w:szCs w:val="22"/>
              </w:rPr>
              <w:t>主体工程的土方填筑结束后，立即对绿化区回填表土植种草木，项目区建成后尽快恢复恢复周围受影响的植被，做好项目区内的绿化规划；</w:t>
            </w:r>
          </w:p>
          <w:p>
            <w:pPr>
              <w:pStyle w:val="36"/>
              <w:ind w:firstLine="480"/>
              <w:rPr>
                <w:rFonts w:ascii="Times New Roman" w:hAnsi="Times New Roman" w:cs="Times New Roman"/>
                <w:color w:val="auto"/>
                <w:kern w:val="0"/>
                <w:szCs w:val="22"/>
              </w:rPr>
            </w:pPr>
            <w:r>
              <w:rPr>
                <w:rFonts w:hint="eastAsia" w:ascii="宋体" w:hAnsi="宋体" w:eastAsia="宋体" w:cs="宋体"/>
                <w:color w:val="auto"/>
                <w:kern w:val="0"/>
                <w:szCs w:val="22"/>
              </w:rPr>
              <w:t>⑤</w:t>
            </w:r>
            <w:r>
              <w:rPr>
                <w:rFonts w:hint="eastAsia" w:ascii="Times New Roman" w:hAnsi="Times New Roman" w:cs="Times New Roman"/>
                <w:color w:val="auto"/>
                <w:kern w:val="0"/>
                <w:szCs w:val="22"/>
              </w:rPr>
              <w:t xml:space="preserve"> 充分考虑项目所在地降雨的季节性变化，合理安排施工期，较大面积的破土应尽量避开雨季，减少水土流失量，节省防护资金；</w:t>
            </w:r>
          </w:p>
          <w:p>
            <w:pPr>
              <w:pStyle w:val="36"/>
              <w:ind w:firstLine="480"/>
              <w:rPr>
                <w:rFonts w:ascii="Times New Roman" w:hAnsi="Times New Roman" w:cs="Times New Roman"/>
                <w:color w:val="auto"/>
                <w:kern w:val="0"/>
                <w:szCs w:val="22"/>
              </w:rPr>
            </w:pPr>
            <w:r>
              <w:rPr>
                <w:rFonts w:hint="eastAsia" w:ascii="Times New Roman" w:hAnsi="Times New Roman" w:cs="Times New Roman"/>
                <w:color w:val="auto"/>
                <w:kern w:val="0"/>
                <w:szCs w:val="22"/>
              </w:rPr>
              <w:t>综上，施工期各污染要素对环境的影响是暂时的、局部的，通过采取适当的环境污染防治措施，可以把污染降到最低，随着施工的结束，对环境的影响也随之结束。</w:t>
            </w:r>
          </w:p>
          <w:p>
            <w:pPr>
              <w:rPr>
                <w:rFonts w:ascii="Times New Roman" w:hAnsi="Times New Roman" w:cs="Times New Roman"/>
                <w:b/>
                <w:sz w:val="28"/>
                <w:szCs w:val="28"/>
              </w:rPr>
            </w:pPr>
            <w:r>
              <w:rPr>
                <w:rFonts w:hint="eastAsia" w:ascii="Times New Roman" w:hAnsi="Times New Roman" w:cs="Times New Roman"/>
                <w:b/>
                <w:sz w:val="28"/>
                <w:szCs w:val="28"/>
              </w:rPr>
              <w:t>7.2</w:t>
            </w:r>
            <w:r>
              <w:rPr>
                <w:rFonts w:ascii="Times New Roman" w:hAnsi="Times New Roman" w:cs="Times New Roman"/>
                <w:b/>
                <w:sz w:val="28"/>
                <w:szCs w:val="28"/>
              </w:rPr>
              <w:t>营运期环境影响分析</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7.2.1营运期水</w:t>
            </w:r>
            <w:r>
              <w:rPr>
                <w:rFonts w:ascii="Times New Roman" w:hAnsi="Times New Roman" w:cs="Times New Roman"/>
                <w:b/>
                <w:sz w:val="24"/>
              </w:rPr>
              <w:t>环境影响</w:t>
            </w:r>
          </w:p>
          <w:p>
            <w:pPr>
              <w:pStyle w:val="36"/>
              <w:ind w:firstLine="482"/>
              <w:rPr>
                <w:rFonts w:ascii="Times New Roman" w:hAnsi="Times New Roman" w:cs="Times New Roman"/>
                <w:b/>
                <w:color w:val="auto"/>
                <w:kern w:val="0"/>
                <w:szCs w:val="22"/>
              </w:rPr>
            </w:pPr>
            <w:r>
              <w:rPr>
                <w:rFonts w:hint="eastAsia" w:ascii="Times New Roman" w:hAnsi="Times New Roman" w:cs="Times New Roman"/>
                <w:b/>
                <w:color w:val="auto"/>
                <w:kern w:val="0"/>
                <w:szCs w:val="22"/>
              </w:rPr>
              <w:t>（1）废水来源及特征</w:t>
            </w:r>
          </w:p>
          <w:p>
            <w:pPr>
              <w:pStyle w:val="31"/>
              <w:rPr>
                <w:color w:val="auto"/>
              </w:rPr>
            </w:pPr>
            <w:r>
              <w:rPr>
                <w:rFonts w:hint="eastAsia"/>
                <w:color w:val="auto"/>
              </w:rPr>
              <w:t>根据工程分析可知，本项目营运期废水主要为生活污水、石材加工废水、车辆清洗废水和初期雨水，生活污水中的主要污染物为COD</w:t>
            </w:r>
            <w:r>
              <w:rPr>
                <w:rFonts w:hint="eastAsia"/>
                <w:color w:val="auto"/>
                <w:vertAlign w:val="subscript"/>
              </w:rPr>
              <w:t>Cr</w:t>
            </w:r>
            <w:r>
              <w:rPr>
                <w:rFonts w:hint="eastAsia"/>
                <w:color w:val="auto"/>
              </w:rPr>
              <w:t>、BOD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-N、SS；石材加工废水、车辆清洗废水和地表径流水的主要污染物为SS。本项目生活污水经化粪池处理后用作农肥；石材加工废水、车辆清洗废水和初期雨水经沉淀处理后回用于生产。</w:t>
            </w:r>
          </w:p>
          <w:p>
            <w:pPr>
              <w:pStyle w:val="31"/>
              <w:ind w:firstLine="482"/>
              <w:rPr>
                <w:b/>
                <w:color w:val="auto"/>
              </w:rPr>
            </w:pPr>
            <w:r>
              <w:rPr>
                <w:b/>
                <w:color w:val="auto"/>
              </w:rPr>
              <w:t>（2）</w:t>
            </w:r>
            <w:r>
              <w:rPr>
                <w:rFonts w:hint="eastAsia"/>
                <w:b/>
                <w:color w:val="auto"/>
              </w:rPr>
              <w:t>地表水污染防治措施和废水达标可行性分析</w:t>
            </w:r>
          </w:p>
          <w:p>
            <w:pPr>
              <w:pStyle w:val="31"/>
              <w:rPr>
                <w:color w:val="auto"/>
              </w:rPr>
            </w:pPr>
            <w:r>
              <w:rPr>
                <w:rFonts w:hint="eastAsia"/>
                <w:color w:val="auto"/>
              </w:rPr>
              <w:t>① 生活污水处理设施</w:t>
            </w:r>
          </w:p>
          <w:p>
            <w:pPr>
              <w:pStyle w:val="31"/>
              <w:rPr>
                <w:color w:val="auto"/>
              </w:rPr>
            </w:pPr>
            <w:r>
              <w:rPr>
                <w:rFonts w:hint="eastAsia"/>
                <w:color w:val="auto"/>
              </w:rPr>
              <w:t>本项目拟建设三级化粪池处理生活污水，化粪池是一种利用沉淀和厌氧发酵的原理，去除生活污水中悬浮性有机物的处理设施，属于初级的过渡性生活处理构筑物。</w:t>
            </w:r>
            <w:r>
              <w:rPr>
                <w:color w:val="auto"/>
              </w:rPr>
              <w:t>生活污水中含有大量粪便、纸屑、病原虫，悬浮物固体浓度为100~350mg/L，有机物浓度BOD</w:t>
            </w:r>
            <w:r>
              <w:rPr>
                <w:color w:val="auto"/>
                <w:vertAlign w:val="subscript"/>
              </w:rPr>
              <w:t>5</w:t>
            </w:r>
            <w:r>
              <w:rPr>
                <w:color w:val="auto"/>
              </w:rPr>
              <w:t xml:space="preserve"> 在100~400mg/L之间，其中悬浮性的有机物浓度BOD</w:t>
            </w:r>
            <w:r>
              <w:rPr>
                <w:color w:val="auto"/>
                <w:vertAlign w:val="subscript"/>
              </w:rPr>
              <w:t>5</w:t>
            </w:r>
            <w:r>
              <w:rPr>
                <w:color w:val="auto"/>
              </w:rPr>
              <w:t>为50~200mg/L。污水进入化粪池经过12~24h的沉淀，可去除50%~60%的悬浮物。沉淀下来的污泥经过3个月以上的厌氧消化，使污泥中的有机物分解成稳定的无机物，易腐败的生污泥转化为稳定的熟污泥，改变了污泥的结构，降低了污泥的含水率。污泥</w:t>
            </w:r>
            <w:r>
              <w:rPr>
                <w:rFonts w:hint="eastAsia"/>
                <w:color w:val="auto"/>
              </w:rPr>
              <w:t>可</w:t>
            </w:r>
            <w:r>
              <w:rPr>
                <w:color w:val="auto"/>
              </w:rPr>
              <w:t>清掏外运作肥料。</w:t>
            </w:r>
          </w:p>
          <w:p>
            <w:pPr>
              <w:pStyle w:val="31"/>
              <w:rPr>
                <w:color w:val="auto"/>
              </w:rPr>
            </w:pPr>
            <w:r>
              <w:rPr>
                <w:rFonts w:hint="eastAsia"/>
                <w:color w:val="auto"/>
              </w:rPr>
              <w:t>② 生产废水（石材加工废水、洗车废水）处理设施</w:t>
            </w:r>
          </w:p>
          <w:p>
            <w:pPr>
              <w:pStyle w:val="31"/>
              <w:rPr>
                <w:color w:val="auto"/>
              </w:rPr>
            </w:pPr>
            <w:r>
              <w:rPr>
                <w:rFonts w:hint="eastAsia"/>
                <w:color w:val="auto"/>
              </w:rPr>
              <w:t>本项目石材加工和车辆清洗过程中产生的废水经管道输送至废水收集池，泵入沉淀池。废水通过沉淀处理后，上清液进入循环水池，再循环使用到生产用水中，沉渣定期清理，与砂石产品一同外售。</w:t>
            </w:r>
          </w:p>
          <w:p>
            <w:pPr>
              <w:pStyle w:val="31"/>
              <w:rPr>
                <w:color w:val="auto"/>
              </w:rPr>
            </w:pPr>
            <w:r>
              <w:rPr>
                <w:rFonts w:hint="eastAsia"/>
                <w:color w:val="auto"/>
              </w:rPr>
              <w:t>本项目生产废水具体处理工艺流程如下图所示。</w:t>
            </w:r>
          </w:p>
          <w:p>
            <w:pPr>
              <w:pStyle w:val="31"/>
              <w:ind w:firstLine="0" w:firstLineChars="0"/>
              <w:jc w:val="center"/>
              <w:rPr>
                <w:color w:val="auto"/>
              </w:rPr>
            </w:pPr>
            <w:r>
              <w:rPr>
                <w:color w:val="auto"/>
              </w:rPr>
              <w:object>
                <v:shape id="_x0000_i1045" o:spt="75" type="#_x0000_t75" style="height:157.5pt;width:420.9pt;" o:ole="t" filled="f" o:preferrelative="t" stroked="f" coordsize="21600,21600">
                  <v:path/>
                  <v:fill on="f" focussize="0,0"/>
                  <v:stroke on="f" joinstyle="miter"/>
                  <v:imagedata r:id="rId43" o:title=""/>
                  <o:lock v:ext="edit" aspectratio="t"/>
                  <w10:wrap type="none"/>
                  <w10:anchorlock/>
                </v:shape>
                <o:OLEObject Type="Embed" ProgID="Visio.Drawing.11" ShapeID="_x0000_i1045" DrawAspect="Content" ObjectID="_1468075741" r:id="rId42">
                  <o:LockedField>false</o:LockedField>
                </o:OLEObject>
              </w:object>
            </w:r>
          </w:p>
          <w:p>
            <w:pPr>
              <w:pStyle w:val="31"/>
              <w:ind w:firstLine="0" w:firstLineChars="0"/>
              <w:jc w:val="center"/>
              <w:rPr>
                <w:rFonts w:cs="Times New Roman"/>
                <w:b/>
                <w:color w:val="auto"/>
                <w:sz w:val="21"/>
                <w:lang w:val="zh-CN"/>
              </w:rPr>
            </w:pPr>
            <w:r>
              <w:rPr>
                <w:rFonts w:hint="eastAsia" w:cs="Times New Roman"/>
                <w:b/>
                <w:color w:val="auto"/>
                <w:sz w:val="21"/>
                <w:lang w:val="zh-CN"/>
              </w:rPr>
              <w:t>图7</w:t>
            </w:r>
            <w:r>
              <w:rPr>
                <w:rFonts w:hint="eastAsia" w:cs="Times New Roman"/>
                <w:b/>
                <w:color w:val="auto"/>
                <w:sz w:val="21"/>
              </w:rPr>
              <w:t>-1</w:t>
            </w:r>
            <w:r>
              <w:rPr>
                <w:rFonts w:hint="eastAsia" w:cs="Times New Roman"/>
                <w:b/>
                <w:color w:val="auto"/>
                <w:sz w:val="21"/>
                <w:lang w:val="zh-CN"/>
              </w:rPr>
              <w:t xml:space="preserve"> </w:t>
            </w:r>
            <w:r>
              <w:rPr>
                <w:rFonts w:cs="Times New Roman"/>
                <w:b/>
                <w:color w:val="auto"/>
                <w:sz w:val="21"/>
                <w:lang w:val="zh-CN"/>
              </w:rPr>
              <w:t xml:space="preserve">  </w:t>
            </w:r>
            <w:r>
              <w:rPr>
                <w:rFonts w:hint="eastAsia" w:cs="Times New Roman"/>
                <w:b/>
                <w:color w:val="auto"/>
                <w:sz w:val="21"/>
                <w:lang w:val="zh-CN"/>
              </w:rPr>
              <w:t>生产废水处理工艺流程图</w:t>
            </w:r>
          </w:p>
          <w:p>
            <w:pPr>
              <w:pStyle w:val="31"/>
              <w:rPr>
                <w:color w:val="auto"/>
              </w:rPr>
            </w:pPr>
            <w:r>
              <w:rPr>
                <w:rFonts w:hint="eastAsia"/>
                <w:color w:val="auto"/>
              </w:rPr>
              <w:t>石材切割、抛磨工艺主要是通过冷却水对作业部位刀具（磨具）进行冷却，同时通过水流带走产生的石粉；洗车工序主要洗去运输车辆轮胎上沾附的泥土，上述废水废水主要污染物均为悬浮物。石材切割和抛磨工序用水对水质无要求，因此上述废水经沉淀处理降低废水中的SS含量后，上清液即可回用于生产，参考国内同类型项目，大部分石材加工厂均采用沉淀法处理石材加工废水，该法技术成熟，处理效率良好，本项目选用此工艺处理生产废水是可行的。</w:t>
            </w:r>
          </w:p>
          <w:p>
            <w:pPr>
              <w:pStyle w:val="31"/>
              <w:rPr>
                <w:color w:val="auto"/>
              </w:rPr>
            </w:pPr>
            <w:r>
              <w:rPr>
                <w:rFonts w:hint="eastAsia"/>
                <w:color w:val="auto"/>
              </w:rPr>
              <w:t>根据水平衡分析，本项目总生产用水量为151800m</w:t>
            </w:r>
            <w:r>
              <w:rPr>
                <w:rFonts w:hint="eastAsia"/>
                <w:color w:val="auto"/>
                <w:vertAlign w:val="superscript"/>
              </w:rPr>
              <w:t>3</w:t>
            </w:r>
            <w:r>
              <w:rPr>
                <w:rFonts w:hint="eastAsia"/>
                <w:color w:val="auto"/>
              </w:rPr>
              <w:t>/a（506m</w:t>
            </w:r>
            <w:r>
              <w:rPr>
                <w:rFonts w:hint="eastAsia"/>
                <w:color w:val="auto"/>
                <w:vertAlign w:val="superscript"/>
              </w:rPr>
              <w:t>3</w:t>
            </w:r>
            <w:r>
              <w:rPr>
                <w:rFonts w:hint="eastAsia"/>
                <w:color w:val="auto"/>
              </w:rPr>
              <w:t>/d），其中循环水量140100m</w:t>
            </w:r>
            <w:r>
              <w:rPr>
                <w:rFonts w:hint="eastAsia"/>
                <w:color w:val="auto"/>
                <w:vertAlign w:val="superscript"/>
              </w:rPr>
              <w:t>3</w:t>
            </w:r>
            <w:r>
              <w:rPr>
                <w:rFonts w:hint="eastAsia"/>
                <w:color w:val="auto"/>
              </w:rPr>
              <w:t>/a（467m</w:t>
            </w:r>
            <w:r>
              <w:rPr>
                <w:rFonts w:hint="eastAsia"/>
                <w:color w:val="auto"/>
                <w:vertAlign w:val="superscript"/>
              </w:rPr>
              <w:t>3</w:t>
            </w:r>
            <w:r>
              <w:rPr>
                <w:rFonts w:hint="eastAsia"/>
                <w:color w:val="auto"/>
              </w:rPr>
              <w:t>/d），不足的部分由循环水池汇集的雨水及区域自来水补充，补充量为11700m</w:t>
            </w:r>
            <w:r>
              <w:rPr>
                <w:rFonts w:hint="eastAsia"/>
                <w:color w:val="auto"/>
                <w:vertAlign w:val="superscript"/>
              </w:rPr>
              <w:t>3</w:t>
            </w:r>
            <w:r>
              <w:rPr>
                <w:rFonts w:hint="eastAsia"/>
                <w:color w:val="auto"/>
              </w:rPr>
              <w:t>/a（39m</w:t>
            </w:r>
            <w:r>
              <w:rPr>
                <w:rFonts w:hint="eastAsia"/>
                <w:color w:val="auto"/>
                <w:vertAlign w:val="superscript"/>
              </w:rPr>
              <w:t>3</w:t>
            </w:r>
            <w:r>
              <w:rPr>
                <w:rFonts w:hint="eastAsia"/>
                <w:color w:val="auto"/>
              </w:rPr>
              <w:t>/d）。根据核算，本项目生产用水循环回用率为92.3%，有效的提高了水资源的利用效率。环评建议建设单位将厂区雨水收集至循环水池，有效利用厂区雨水。</w:t>
            </w:r>
          </w:p>
          <w:p>
            <w:pPr>
              <w:pStyle w:val="31"/>
              <w:rPr>
                <w:color w:val="auto"/>
              </w:rPr>
            </w:pPr>
            <w:r>
              <w:rPr>
                <w:rFonts w:hint="eastAsia"/>
                <w:color w:val="auto"/>
              </w:rPr>
              <w:t>项目生产废水（车辆清洗废水和石材加工废水）总产生量为142200m</w:t>
            </w:r>
            <w:r>
              <w:rPr>
                <w:rFonts w:hint="eastAsia"/>
                <w:color w:val="auto"/>
                <w:vertAlign w:val="superscript"/>
              </w:rPr>
              <w:t>3</w:t>
            </w:r>
            <w:r>
              <w:rPr>
                <w:rFonts w:hint="eastAsia"/>
                <w:color w:val="auto"/>
              </w:rPr>
              <w:t>/a（59.25m</w:t>
            </w:r>
            <w:r>
              <w:rPr>
                <w:rFonts w:hint="eastAsia"/>
                <w:color w:val="auto"/>
                <w:vertAlign w:val="superscript"/>
              </w:rPr>
              <w:t>3</w:t>
            </w:r>
            <w:r>
              <w:rPr>
                <w:rFonts w:hint="eastAsia"/>
                <w:color w:val="auto"/>
              </w:rPr>
              <w:t>/h），企业拟建设一套废水处理系统，其主要设施为沉淀池和水泵，设计处理能力为100m</w:t>
            </w:r>
            <w:r>
              <w:rPr>
                <w:rFonts w:hint="eastAsia"/>
                <w:color w:val="auto"/>
                <w:vertAlign w:val="superscript"/>
              </w:rPr>
              <w:t>3</w:t>
            </w:r>
            <w:r>
              <w:rPr>
                <w:rFonts w:hint="eastAsia"/>
                <w:color w:val="auto"/>
              </w:rPr>
              <w:t>/h，可以满足本项目废水处理要求，根据国内石材加工厂的废水处理经验，采用沉淀法处理石材加工废水效果较好，技术可行。</w:t>
            </w:r>
          </w:p>
          <w:p>
            <w:pPr>
              <w:pStyle w:val="31"/>
              <w:rPr>
                <w:color w:val="auto"/>
              </w:rPr>
            </w:pPr>
            <w:r>
              <w:rPr>
                <w:rFonts w:hint="eastAsia"/>
                <w:color w:val="auto"/>
              </w:rPr>
              <w:t>根据分析可知，本项目生产废水处理工艺简单、设备少，因此前期投入不高，而在后期运行当中，仅需使用电即可，根据同类型项目的实际经验，运行成本在1元/m</w:t>
            </w:r>
            <w:r>
              <w:rPr>
                <w:rFonts w:hint="eastAsia"/>
                <w:color w:val="auto"/>
                <w:vertAlign w:val="superscript"/>
              </w:rPr>
              <w:t>3</w:t>
            </w:r>
            <w:r>
              <w:rPr>
                <w:rFonts w:hint="eastAsia"/>
                <w:color w:val="auto"/>
              </w:rPr>
              <w:t>废水以内。因此，该工艺在经济上是可行的。</w:t>
            </w:r>
          </w:p>
          <w:p>
            <w:pPr>
              <w:pStyle w:val="31"/>
              <w:rPr>
                <w:color w:val="auto"/>
              </w:rPr>
            </w:pPr>
            <w:r>
              <w:rPr>
                <w:rFonts w:hint="eastAsia"/>
                <w:color w:val="auto"/>
              </w:rPr>
              <w:t>③ 初期雨水处理设施</w:t>
            </w:r>
          </w:p>
          <w:p>
            <w:pPr>
              <w:pStyle w:val="31"/>
              <w:rPr>
                <w:color w:val="auto"/>
              </w:rPr>
            </w:pPr>
            <w:r>
              <w:rPr>
                <w:rFonts w:hint="eastAsia"/>
                <w:color w:val="auto"/>
              </w:rPr>
              <w:t>本项目初期雨水经厂区截排水沟收集后可进入生产废水处理设施，初期水质简单，主要污染物为SS，经处理后可储存至循环水池，回用于生产，节省水资源。</w:t>
            </w:r>
          </w:p>
          <w:p>
            <w:pPr>
              <w:pStyle w:val="31"/>
              <w:rPr>
                <w:color w:val="auto"/>
              </w:rPr>
            </w:pPr>
            <w:r>
              <w:rPr>
                <w:rFonts w:hint="eastAsia"/>
                <w:color w:val="auto"/>
              </w:rPr>
              <w:t>④ 废水处理事故防范措施</w:t>
            </w:r>
          </w:p>
          <w:p>
            <w:pPr>
              <w:pStyle w:val="31"/>
              <w:rPr>
                <w:color w:val="auto"/>
              </w:rPr>
            </w:pPr>
            <w:r>
              <w:rPr>
                <w:rFonts w:hint="eastAsia"/>
                <w:color w:val="auto"/>
              </w:rPr>
              <w:t>本项目废水中SS的含量较高，若未经处理直接排放或废水渗漏将造成周边水体和土壤的污染。为防止生产废水事故排放，本环评要求建设单位采取以下措施：</w:t>
            </w:r>
          </w:p>
          <w:p>
            <w:pPr>
              <w:pStyle w:val="31"/>
              <w:rPr>
                <w:color w:val="auto"/>
              </w:rPr>
            </w:pPr>
            <w:r>
              <w:rPr>
                <w:rFonts w:hint="eastAsia"/>
                <w:color w:val="auto"/>
              </w:rPr>
              <w:t>a、为了防止含泥废水下渗引起地下水和土壤的污染问题，或者废水溢出污水池、净化池及清水池，环评要求项目业主必须做好厂区地面硬化措施，并且对废水沉淀系统以及清水池采取防渗漏防溢出处理。</w:t>
            </w:r>
          </w:p>
          <w:p>
            <w:pPr>
              <w:pStyle w:val="31"/>
              <w:rPr>
                <w:color w:val="auto"/>
              </w:rPr>
            </w:pPr>
            <w:r>
              <w:rPr>
                <w:rFonts w:hint="eastAsia"/>
                <w:color w:val="auto"/>
              </w:rPr>
              <w:t>b、及时清理排水沟（管）和处理池中的淤泥，以保障废水处理系统的处理效果；废水处理池缘要高于地面10cm，防止雨水灌入导致污染物外溢。</w:t>
            </w:r>
          </w:p>
          <w:p>
            <w:pPr>
              <w:pStyle w:val="31"/>
              <w:rPr>
                <w:color w:val="auto"/>
              </w:rPr>
            </w:pPr>
            <w:r>
              <w:rPr>
                <w:rFonts w:hint="eastAsia"/>
                <w:color w:val="auto"/>
              </w:rPr>
              <w:t>采取上述措施后，项目营运过程中的废水不会对周边环境产生明显不利影响。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7.2.2营运期大气</w:t>
            </w:r>
            <w:r>
              <w:rPr>
                <w:rFonts w:ascii="Times New Roman" w:hAnsi="Times New Roman" w:cs="Times New Roman"/>
                <w:b/>
                <w:sz w:val="24"/>
              </w:rPr>
              <w:t>环境影响分析</w:t>
            </w:r>
          </w:p>
          <w:p>
            <w:pPr>
              <w:spacing w:line="360" w:lineRule="auto"/>
              <w:ind w:firstLine="482" w:firstLineChars="200"/>
              <w:rPr>
                <w:rFonts w:ascii="Times New Roman" w:hAnsi="Times New Roman" w:cs="宋体"/>
                <w:b/>
                <w:sz w:val="24"/>
              </w:rPr>
            </w:pPr>
            <w:r>
              <w:rPr>
                <w:rFonts w:hint="eastAsia" w:ascii="Times New Roman" w:hAnsi="Times New Roman" w:cs="宋体"/>
                <w:b/>
                <w:sz w:val="24"/>
              </w:rPr>
              <w:t>（1）废气处理系统设置和污染物达标分析</w:t>
            </w:r>
          </w:p>
          <w:p>
            <w:pPr>
              <w:spacing w:line="360" w:lineRule="auto"/>
              <w:ind w:firstLine="480" w:firstLineChars="200"/>
              <w:rPr>
                <w:rFonts w:ascii="Times New Roman" w:hAnsi="Times New Roman" w:cs="宋体"/>
                <w:sz w:val="24"/>
              </w:rPr>
            </w:pPr>
            <w:r>
              <w:rPr>
                <w:rFonts w:hint="eastAsia" w:ascii="Times New Roman" w:hAnsi="Times New Roman" w:cs="宋体"/>
                <w:sz w:val="24"/>
              </w:rPr>
              <w:t>根据工程分析，拟建项目营运过程中石材切割和抛磨、投料、破碎和筛分、堆场、落料和装卸、运输等环节会产生扬尘和粉尘，此外运输还会产生一定量的燃油废气。粉尘（颗粒物）是本项目最主要的大气污染物，由于本项目整个石材加工均采用湿式作业，砂石生产过程中物料湿度较大，故能有效控制粉尘的产生。</w:t>
            </w:r>
          </w:p>
          <w:p>
            <w:pPr>
              <w:spacing w:line="360" w:lineRule="auto"/>
              <w:ind w:firstLine="480" w:firstLineChars="200"/>
              <w:rPr>
                <w:rFonts w:ascii="Times New Roman" w:hAnsi="Times New Roman" w:cs="宋体"/>
                <w:sz w:val="24"/>
              </w:rPr>
            </w:pPr>
            <w:r>
              <w:rPr>
                <w:rFonts w:hint="eastAsia" w:ascii="Times New Roman" w:hAnsi="Times New Roman" w:cs="宋体"/>
                <w:sz w:val="24"/>
              </w:rPr>
              <w:t>本项目南面和北面分布有少量居民住宅，若不采取降尘措施，营运期的排放的粉尘将对其产生较大的影响。环评要求建设单位配备移动式抑尘雾炮机，建设全封闭厂房，并再次对破碎和筛分设备进行封闭，安装布袋除尘器，破碎和筛分粉尘经负压收集和布袋除尘器处理后由15m高排气筒排放；产品和原料应建设厂棚室内堆放并安装雾化喷头，避免露天堆放；厂区道路进行硬化，并及时洒水抑尘，运有物料的车辆应采用棚布遮盖，出入场地时车辆清洗清洗。采取上述措施后，可有效降低粉尘对周边环境的影响。</w:t>
            </w:r>
          </w:p>
          <w:p>
            <w:pPr>
              <w:spacing w:line="360" w:lineRule="auto"/>
              <w:ind w:firstLine="480" w:firstLineChars="200"/>
              <w:rPr>
                <w:rFonts w:ascii="Times New Roman" w:hAnsi="Times New Roman" w:cs="宋体"/>
                <w:sz w:val="24"/>
              </w:rPr>
            </w:pPr>
            <w:r>
              <w:rPr>
                <w:rFonts w:hint="eastAsia" w:ascii="Times New Roman" w:hAnsi="Times New Roman" w:cs="宋体"/>
                <w:sz w:val="24"/>
              </w:rPr>
              <w:t>本项目生产车间、堆场和厂区道路均在项目用地范围内，本环评将各场地无组织排放粉尘作为一个统一的面源进行进行分析。根据工程分析，采取本环评提出的各项环保措施之后，本项目营运期大气污染物产排情况如</w:t>
            </w:r>
            <w:r>
              <w:rPr>
                <w:rFonts w:ascii="Times New Roman" w:hAnsi="Times New Roman" w:cs="宋体"/>
                <w:sz w:val="24"/>
              </w:rPr>
              <w:fldChar w:fldCharType="begin"/>
            </w:r>
            <w:r>
              <w:rPr>
                <w:rFonts w:ascii="Times New Roman" w:hAnsi="Times New Roman" w:cs="宋体"/>
                <w:sz w:val="24"/>
              </w:rPr>
              <w:instrText xml:space="preserve"> </w:instrText>
            </w:r>
            <w:r>
              <w:rPr>
                <w:rFonts w:hint="eastAsia" w:ascii="Times New Roman" w:hAnsi="Times New Roman" w:cs="宋体"/>
                <w:sz w:val="24"/>
              </w:rPr>
              <w:instrText xml:space="preserve">REF _Ref6569511 \h</w:instrText>
            </w:r>
            <w:r>
              <w:rPr>
                <w:rFonts w:ascii="Times New Roman" w:hAnsi="Times New Roman" w:cs="宋体"/>
                <w:sz w:val="24"/>
              </w:rPr>
              <w:instrText xml:space="preserve">  \* MERGEFORMAT </w:instrText>
            </w:r>
            <w:r>
              <w:rPr>
                <w:rFonts w:ascii="Times New Roman" w:hAnsi="Times New Roman" w:cs="宋体"/>
                <w:sz w:val="24"/>
              </w:rPr>
              <w:fldChar w:fldCharType="separate"/>
            </w:r>
            <w:r>
              <w:rPr>
                <w:rFonts w:hint="eastAsia" w:ascii="Times New Roman" w:hAnsi="Times New Roman" w:cs="宋体"/>
                <w:sz w:val="24"/>
              </w:rPr>
              <w:t>表7-</w:t>
            </w:r>
            <w:r>
              <w:rPr>
                <w:rFonts w:ascii="Times New Roman" w:hAnsi="Times New Roman" w:cs="宋体"/>
                <w:sz w:val="24"/>
              </w:rPr>
              <w:t>2</w:t>
            </w:r>
            <w:r>
              <w:rPr>
                <w:rFonts w:ascii="Times New Roman" w:hAnsi="Times New Roman" w:cs="宋体"/>
                <w:sz w:val="24"/>
              </w:rPr>
              <w:fldChar w:fldCharType="end"/>
            </w:r>
            <w:r>
              <w:rPr>
                <w:rFonts w:hint="eastAsia" w:ascii="Times New Roman" w:hAnsi="Times New Roman" w:cs="宋体"/>
                <w:sz w:val="24"/>
              </w:rPr>
              <w:t>所示。</w:t>
            </w:r>
          </w:p>
          <w:p>
            <w:pPr>
              <w:spacing w:line="360" w:lineRule="auto"/>
              <w:jc w:val="center"/>
              <w:rPr>
                <w:rFonts w:ascii="Times New Roman" w:hAnsi="Times New Roman" w:cs="Times New Roman"/>
                <w:b/>
                <w:bCs/>
              </w:rPr>
            </w:pPr>
            <w:bookmarkStart w:id="67" w:name="_Ref6569511"/>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w:t>
            </w:r>
            <w:r>
              <w:rPr>
                <w:rFonts w:ascii="Times New Roman" w:hAnsi="Times New Roman" w:cs="Times New Roman"/>
                <w:b/>
                <w:bCs/>
              </w:rPr>
              <w:fldChar w:fldCharType="end"/>
            </w:r>
            <w:bookmarkEnd w:id="67"/>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营运期粉尘排放源情况汇总表</w:t>
            </w:r>
          </w:p>
          <w:tbl>
            <w:tblPr>
              <w:tblStyle w:val="25"/>
              <w:tblW w:w="906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3"/>
              <w:gridCol w:w="1276"/>
              <w:gridCol w:w="850"/>
              <w:gridCol w:w="1134"/>
              <w:gridCol w:w="1134"/>
              <w:gridCol w:w="992"/>
              <w:gridCol w:w="1134"/>
              <w:gridCol w:w="11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Merge w:val="restart"/>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污染物名称</w:t>
                  </w:r>
                </w:p>
              </w:tc>
              <w:tc>
                <w:tcPr>
                  <w:tcW w:w="3260" w:type="dxa"/>
                  <w:gridSpan w:val="3"/>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无组织排放</w:t>
                  </w:r>
                </w:p>
              </w:tc>
              <w:tc>
                <w:tcPr>
                  <w:tcW w:w="4394" w:type="dxa"/>
                  <w:gridSpan w:val="4"/>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有组织排放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Merge w:val="continue"/>
                  <w:vAlign w:val="center"/>
                </w:tcPr>
                <w:p>
                  <w:pPr>
                    <w:widowControl/>
                    <w:jc w:val="left"/>
                    <w:rPr>
                      <w:rFonts w:ascii="Times New Roman" w:hAnsi="Times New Roman" w:eastAsia="宋体"/>
                      <w:b/>
                      <w:bCs/>
                      <w:kern w:val="0"/>
                      <w:szCs w:val="21"/>
                    </w:rPr>
                  </w:pPr>
                </w:p>
              </w:tc>
              <w:tc>
                <w:tcPr>
                  <w:tcW w:w="1276"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面源尺寸（m×m</w:t>
                  </w:r>
                  <w:r>
                    <w:rPr>
                      <w:rFonts w:hint="eastAsia" w:ascii="宋体" w:hAnsi="宋体"/>
                      <w:b/>
                      <w:bCs/>
                      <w:kern w:val="0"/>
                    </w:rPr>
                    <w:t>）</w:t>
                  </w:r>
                </w:p>
              </w:tc>
              <w:tc>
                <w:tcPr>
                  <w:tcW w:w="850"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排放量（t/a</w:t>
                  </w:r>
                  <w:r>
                    <w:rPr>
                      <w:rFonts w:hint="eastAsia" w:ascii="宋体" w:hAnsi="宋体"/>
                      <w:b/>
                      <w:bCs/>
                      <w:kern w:val="0"/>
                    </w:rPr>
                    <w:t>）</w:t>
                  </w:r>
                </w:p>
              </w:tc>
              <w:tc>
                <w:tcPr>
                  <w:tcW w:w="1134"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排放速率（kg/h</w:t>
                  </w:r>
                  <w:r>
                    <w:rPr>
                      <w:rFonts w:hint="eastAsia" w:ascii="宋体" w:hAnsi="宋体"/>
                      <w:b/>
                      <w:bCs/>
                      <w:kern w:val="0"/>
                    </w:rPr>
                    <w:t>）</w:t>
                  </w:r>
                </w:p>
              </w:tc>
              <w:tc>
                <w:tcPr>
                  <w:tcW w:w="1134"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排风量（m</w:t>
                  </w:r>
                  <w:r>
                    <w:rPr>
                      <w:rFonts w:hint="eastAsia" w:ascii="Times New Roman" w:hAnsi="Times New Roman"/>
                      <w:b/>
                      <w:bCs/>
                      <w:kern w:val="0"/>
                      <w:vertAlign w:val="superscript"/>
                    </w:rPr>
                    <w:t>3</w:t>
                  </w:r>
                  <w:r>
                    <w:rPr>
                      <w:rFonts w:hint="eastAsia" w:ascii="Times New Roman" w:hAnsi="Times New Roman"/>
                      <w:b/>
                      <w:bCs/>
                      <w:kern w:val="0"/>
                    </w:rPr>
                    <w:t>/h</w:t>
                  </w:r>
                  <w:r>
                    <w:rPr>
                      <w:rFonts w:hint="eastAsia" w:ascii="宋体" w:hAnsi="宋体"/>
                      <w:b/>
                      <w:bCs/>
                      <w:kern w:val="0"/>
                    </w:rPr>
                    <w:t>）</w:t>
                  </w:r>
                </w:p>
              </w:tc>
              <w:tc>
                <w:tcPr>
                  <w:tcW w:w="992"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排放量（t/a</w:t>
                  </w:r>
                  <w:r>
                    <w:rPr>
                      <w:rFonts w:hint="eastAsia" w:ascii="宋体" w:hAnsi="宋体"/>
                      <w:b/>
                      <w:bCs/>
                      <w:kern w:val="0"/>
                    </w:rPr>
                    <w:t>）</w:t>
                  </w:r>
                </w:p>
              </w:tc>
              <w:tc>
                <w:tcPr>
                  <w:tcW w:w="1134"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排放浓度（mg/m</w:t>
                  </w:r>
                  <w:r>
                    <w:rPr>
                      <w:rFonts w:hint="eastAsia" w:ascii="Times New Roman" w:hAnsi="Times New Roman"/>
                      <w:b/>
                      <w:bCs/>
                      <w:kern w:val="0"/>
                      <w:vertAlign w:val="superscript"/>
                    </w:rPr>
                    <w:t>3</w:t>
                  </w:r>
                  <w:r>
                    <w:rPr>
                      <w:rFonts w:hint="eastAsia" w:ascii="Times New Roman" w:hAnsi="Times New Roman"/>
                      <w:b/>
                      <w:bCs/>
                      <w:kern w:val="0"/>
                    </w:rPr>
                    <w:t>）</w:t>
                  </w:r>
                </w:p>
              </w:tc>
              <w:tc>
                <w:tcPr>
                  <w:tcW w:w="1134" w:type="dxa"/>
                  <w:vAlign w:val="center"/>
                </w:tcPr>
                <w:p>
                  <w:pPr>
                    <w:widowControl/>
                    <w:jc w:val="center"/>
                    <w:rPr>
                      <w:rFonts w:ascii="Times New Roman" w:hAnsi="Times New Roman" w:eastAsia="宋体"/>
                      <w:b/>
                      <w:bCs/>
                      <w:kern w:val="0"/>
                      <w:szCs w:val="21"/>
                    </w:rPr>
                  </w:pPr>
                  <w:r>
                    <w:rPr>
                      <w:rFonts w:hint="eastAsia" w:ascii="Times New Roman" w:hAnsi="Times New Roman"/>
                      <w:b/>
                      <w:bCs/>
                      <w:kern w:val="0"/>
                    </w:rPr>
                    <w:t>排放速率（kg/h</w:t>
                  </w:r>
                  <w:r>
                    <w:rPr>
                      <w:rFonts w:hint="eastAsia" w:ascii="宋体" w:hAnsi="宋体"/>
                      <w:b/>
                      <w:bCs/>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widowControl/>
                    <w:jc w:val="center"/>
                    <w:rPr>
                      <w:rFonts w:ascii="Times New Roman" w:hAnsi="Times New Roman" w:eastAsia="宋体"/>
                      <w:kern w:val="0"/>
                      <w:szCs w:val="21"/>
                    </w:rPr>
                  </w:pPr>
                  <w:r>
                    <w:rPr>
                      <w:rFonts w:hint="eastAsia" w:ascii="Times New Roman" w:hAnsi="Times New Roman"/>
                      <w:kern w:val="0"/>
                    </w:rPr>
                    <w:t>砂石破碎和筛分粉尘</w:t>
                  </w:r>
                </w:p>
              </w:tc>
              <w:tc>
                <w:tcPr>
                  <w:tcW w:w="1276"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w:t>
                  </w:r>
                </w:p>
              </w:tc>
              <w:tc>
                <w:tcPr>
                  <w:tcW w:w="850"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kern w:val="0"/>
                    </w:rPr>
                    <w:t>5000</w:t>
                  </w:r>
                </w:p>
              </w:tc>
              <w:tc>
                <w:tcPr>
                  <w:tcW w:w="992"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0.30</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25</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0.125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石材加工粉尘</w:t>
                  </w:r>
                </w:p>
              </w:tc>
              <w:tc>
                <w:tcPr>
                  <w:tcW w:w="1276" w:type="dxa"/>
                  <w:vMerge w:val="restart"/>
                  <w:vAlign w:val="center"/>
                </w:tcPr>
                <w:p>
                  <w:pPr>
                    <w:jc w:val="center"/>
                    <w:rPr>
                      <w:rFonts w:ascii="Times New Roman" w:hAnsi="Times New Roman"/>
                      <w:kern w:val="0"/>
                    </w:rPr>
                  </w:pPr>
                  <w:r>
                    <w:rPr>
                      <w:rFonts w:hint="eastAsia" w:ascii="Times New Roman" w:hAnsi="Times New Roman"/>
                      <w:kern w:val="0"/>
                    </w:rPr>
                    <w:t>100×64</w:t>
                  </w:r>
                </w:p>
              </w:tc>
              <w:tc>
                <w:tcPr>
                  <w:tcW w:w="850" w:type="dxa"/>
                  <w:vAlign w:val="center"/>
                </w:tcPr>
                <w:p>
                  <w:pPr>
                    <w:jc w:val="center"/>
                    <w:rPr>
                      <w:rFonts w:ascii="Times New Roman" w:hAnsi="Times New Roman" w:cs="Times New Roman"/>
                      <w:szCs w:val="21"/>
                    </w:rPr>
                  </w:pPr>
                  <w:r>
                    <w:rPr>
                      <w:rFonts w:hint="eastAsia" w:ascii="Times New Roman" w:hAnsi="Times New Roman" w:cs="Times New Roman"/>
                      <w:szCs w:val="21"/>
                    </w:rPr>
                    <w:t>0.068</w:t>
                  </w:r>
                </w:p>
              </w:tc>
              <w:tc>
                <w:tcPr>
                  <w:tcW w:w="113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0.028</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992"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砂石投料粉尘</w:t>
                  </w:r>
                </w:p>
              </w:tc>
              <w:tc>
                <w:tcPr>
                  <w:tcW w:w="1276" w:type="dxa"/>
                  <w:vMerge w:val="continue"/>
                  <w:vAlign w:val="center"/>
                </w:tcPr>
                <w:p>
                  <w:pPr>
                    <w:widowControl/>
                    <w:jc w:val="center"/>
                    <w:rPr>
                      <w:rFonts w:ascii="Times New Roman" w:hAnsi="Times New Roman"/>
                      <w:kern w:val="0"/>
                    </w:rPr>
                  </w:pPr>
                </w:p>
              </w:tc>
              <w:tc>
                <w:tcPr>
                  <w:tcW w:w="850" w:type="dxa"/>
                  <w:vAlign w:val="center"/>
                </w:tcPr>
                <w:p>
                  <w:pPr>
                    <w:jc w:val="center"/>
                    <w:rPr>
                      <w:rFonts w:ascii="Times New Roman" w:hAnsi="Times New Roman" w:cs="Times New Roman"/>
                      <w:szCs w:val="21"/>
                    </w:rPr>
                  </w:pPr>
                  <w:r>
                    <w:rPr>
                      <w:rFonts w:hint="eastAsia" w:ascii="Times New Roman" w:hAnsi="Times New Roman" w:cs="Times New Roman"/>
                      <w:szCs w:val="21"/>
                    </w:rPr>
                    <w:t>0.120</w:t>
                  </w:r>
                </w:p>
              </w:tc>
              <w:tc>
                <w:tcPr>
                  <w:tcW w:w="113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0.050</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992"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砂石落料及装卸粉尘</w:t>
                  </w:r>
                </w:p>
              </w:tc>
              <w:tc>
                <w:tcPr>
                  <w:tcW w:w="1276" w:type="dxa"/>
                  <w:vMerge w:val="continue"/>
                  <w:vAlign w:val="center"/>
                </w:tcPr>
                <w:p>
                  <w:pPr>
                    <w:widowControl/>
                    <w:jc w:val="center"/>
                    <w:rPr>
                      <w:rFonts w:ascii="Times New Roman" w:hAnsi="Times New Roman"/>
                      <w:kern w:val="0"/>
                    </w:rPr>
                  </w:pPr>
                </w:p>
              </w:tc>
              <w:tc>
                <w:tcPr>
                  <w:tcW w:w="850" w:type="dxa"/>
                  <w:vAlign w:val="center"/>
                </w:tcPr>
                <w:p>
                  <w:pPr>
                    <w:jc w:val="center"/>
                    <w:rPr>
                      <w:rFonts w:ascii="Times New Roman" w:hAnsi="Times New Roman" w:cs="Times New Roman"/>
                      <w:szCs w:val="21"/>
                    </w:rPr>
                  </w:pPr>
                  <w:r>
                    <w:rPr>
                      <w:rFonts w:hint="eastAsia" w:ascii="Times New Roman" w:hAnsi="Times New Roman" w:cs="Times New Roman"/>
                      <w:szCs w:val="21"/>
                    </w:rPr>
                    <w:t>0.080</w:t>
                  </w:r>
                </w:p>
              </w:tc>
              <w:tc>
                <w:tcPr>
                  <w:tcW w:w="113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0.033</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992"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运输扬尘</w:t>
                  </w:r>
                </w:p>
              </w:tc>
              <w:tc>
                <w:tcPr>
                  <w:tcW w:w="1276" w:type="dxa"/>
                  <w:vMerge w:val="continue"/>
                  <w:vAlign w:val="center"/>
                </w:tcPr>
                <w:p>
                  <w:pPr>
                    <w:widowControl/>
                    <w:jc w:val="center"/>
                    <w:rPr>
                      <w:rFonts w:ascii="Times New Roman" w:hAnsi="Times New Roman"/>
                      <w:kern w:val="0"/>
                    </w:rPr>
                  </w:pPr>
                </w:p>
              </w:tc>
              <w:tc>
                <w:tcPr>
                  <w:tcW w:w="850"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0.090</w:t>
                  </w:r>
                </w:p>
              </w:tc>
              <w:tc>
                <w:tcPr>
                  <w:tcW w:w="1134" w:type="dxa"/>
                  <w:vAlign w:val="center"/>
                </w:tcPr>
                <w:p>
                  <w:pPr>
                    <w:widowControl/>
                    <w:jc w:val="center"/>
                    <w:rPr>
                      <w:rFonts w:ascii="Times New Roman" w:hAnsi="Times New Roman"/>
                      <w:kern w:val="0"/>
                    </w:rPr>
                  </w:pPr>
                  <w:r>
                    <w:rPr>
                      <w:rFonts w:hint="eastAsia" w:ascii="Times New Roman" w:hAnsi="Times New Roman"/>
                      <w:kern w:val="0"/>
                    </w:rPr>
                    <w:t>0.038</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992"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堆场粉尘</w:t>
                  </w:r>
                </w:p>
              </w:tc>
              <w:tc>
                <w:tcPr>
                  <w:tcW w:w="1276" w:type="dxa"/>
                  <w:vMerge w:val="continue"/>
                  <w:vAlign w:val="center"/>
                </w:tcPr>
                <w:p>
                  <w:pPr>
                    <w:widowControl/>
                    <w:jc w:val="center"/>
                    <w:rPr>
                      <w:rFonts w:ascii="Times New Roman" w:hAnsi="Times New Roman"/>
                      <w:kern w:val="0"/>
                    </w:rPr>
                  </w:pPr>
                </w:p>
              </w:tc>
              <w:tc>
                <w:tcPr>
                  <w:tcW w:w="850" w:type="dxa"/>
                  <w:vAlign w:val="center"/>
                </w:tcPr>
                <w:p>
                  <w:pPr>
                    <w:jc w:val="center"/>
                    <w:rPr>
                      <w:rFonts w:ascii="Times New Roman" w:hAnsi="Times New Roman" w:cs="Times New Roman"/>
                      <w:szCs w:val="21"/>
                    </w:rPr>
                  </w:pPr>
                  <w:r>
                    <w:rPr>
                      <w:rFonts w:hint="eastAsia" w:ascii="Times New Roman" w:hAnsi="Times New Roman" w:cs="Times New Roman"/>
                      <w:szCs w:val="21"/>
                    </w:rPr>
                    <w:t>0.027</w:t>
                  </w:r>
                </w:p>
              </w:tc>
              <w:tc>
                <w:tcPr>
                  <w:tcW w:w="113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0.003</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992"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c>
                <w:tcPr>
                  <w:tcW w:w="1134" w:type="dxa"/>
                  <w:vAlign w:val="center"/>
                </w:tcPr>
                <w:p>
                  <w:pPr>
                    <w:widowControl/>
                    <w:jc w:val="center"/>
                    <w:rPr>
                      <w:rFonts w:ascii="Times New Roman" w:hAnsi="Times New Roman"/>
                      <w:kern w:val="0"/>
                    </w:rPr>
                  </w:pPr>
                  <w:r>
                    <w:rPr>
                      <w:rFonts w:hint="eastAsia" w:ascii="Times New Roman" w:hAnsi="Times New Roman"/>
                      <w:kern w:val="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1413" w:type="dxa"/>
                  <w:vAlign w:val="center"/>
                </w:tcPr>
                <w:p>
                  <w:pPr>
                    <w:widowControl/>
                    <w:jc w:val="center"/>
                    <w:rPr>
                      <w:rFonts w:ascii="Times New Roman" w:hAnsi="Times New Roman"/>
                      <w:kern w:val="0"/>
                    </w:rPr>
                  </w:pPr>
                  <w:r>
                    <w:rPr>
                      <w:rFonts w:hint="eastAsia" w:ascii="Times New Roman" w:hAnsi="Times New Roman"/>
                      <w:kern w:val="0"/>
                    </w:rPr>
                    <w:t>合计</w:t>
                  </w:r>
                </w:p>
              </w:tc>
              <w:tc>
                <w:tcPr>
                  <w:tcW w:w="1276" w:type="dxa"/>
                  <w:vAlign w:val="center"/>
                </w:tcPr>
                <w:p>
                  <w:pPr>
                    <w:widowControl/>
                    <w:jc w:val="center"/>
                    <w:rPr>
                      <w:rFonts w:ascii="Times New Roman" w:hAnsi="Times New Roman"/>
                      <w:kern w:val="0"/>
                    </w:rPr>
                  </w:pPr>
                  <w:r>
                    <w:rPr>
                      <w:rFonts w:hint="eastAsia" w:ascii="Times New Roman" w:hAnsi="Times New Roman"/>
                      <w:kern w:val="0"/>
                    </w:rPr>
                    <w:t>/</w:t>
                  </w:r>
                </w:p>
              </w:tc>
              <w:tc>
                <w:tcPr>
                  <w:tcW w:w="850" w:type="dxa"/>
                  <w:vAlign w:val="center"/>
                </w:tcPr>
                <w:p>
                  <w:pPr>
                    <w:widowControl/>
                    <w:jc w:val="center"/>
                    <w:rPr>
                      <w:rFonts w:ascii="Times New Roman" w:hAnsi="Times New Roman"/>
                      <w:kern w:val="0"/>
                    </w:rPr>
                  </w:pPr>
                  <w:r>
                    <w:rPr>
                      <w:rFonts w:ascii="Times New Roman" w:hAnsi="Times New Roman"/>
                      <w:kern w:val="0"/>
                    </w:rPr>
                    <w:fldChar w:fldCharType="begin"/>
                  </w:r>
                  <w:r>
                    <w:rPr>
                      <w:rFonts w:ascii="Times New Roman" w:hAnsi="Times New Roman"/>
                      <w:kern w:val="0"/>
                    </w:rPr>
                    <w:instrText xml:space="preserve"> </w:instrText>
                  </w:r>
                  <w:r>
                    <w:rPr>
                      <w:rFonts w:hint="eastAsia" w:ascii="Times New Roman" w:hAnsi="Times New Roman"/>
                      <w:kern w:val="0"/>
                    </w:rPr>
                    <w:instrText xml:space="preserve">=SUM(ABOVE)</w:instrText>
                  </w:r>
                  <w:r>
                    <w:rPr>
                      <w:rFonts w:ascii="Times New Roman" w:hAnsi="Times New Roman"/>
                      <w:kern w:val="0"/>
                    </w:rPr>
                    <w:instrText xml:space="preserve"> </w:instrText>
                  </w:r>
                  <w:r>
                    <w:rPr>
                      <w:rFonts w:ascii="Times New Roman" w:hAnsi="Times New Roman"/>
                      <w:kern w:val="0"/>
                    </w:rPr>
                    <w:fldChar w:fldCharType="separate"/>
                  </w:r>
                  <w:r>
                    <w:rPr>
                      <w:rFonts w:ascii="Times New Roman" w:hAnsi="Times New Roman"/>
                      <w:kern w:val="0"/>
                    </w:rPr>
                    <w:t>0.385</w:t>
                  </w:r>
                  <w:r>
                    <w:rPr>
                      <w:rFonts w:ascii="Times New Roman" w:hAnsi="Times New Roman"/>
                      <w:kern w:val="0"/>
                    </w:rPr>
                    <w:fldChar w:fldCharType="end"/>
                  </w:r>
                </w:p>
              </w:tc>
              <w:tc>
                <w:tcPr>
                  <w:tcW w:w="1134" w:type="dxa"/>
                  <w:vAlign w:val="center"/>
                </w:tcPr>
                <w:p>
                  <w:pPr>
                    <w:widowControl/>
                    <w:jc w:val="center"/>
                    <w:rPr>
                      <w:rFonts w:ascii="Times New Roman" w:hAnsi="Times New Roman"/>
                      <w:kern w:val="0"/>
                    </w:rPr>
                  </w:pPr>
                  <w:r>
                    <w:rPr>
                      <w:rFonts w:ascii="Times New Roman" w:hAnsi="Times New Roman"/>
                      <w:kern w:val="0"/>
                    </w:rPr>
                    <w:fldChar w:fldCharType="begin"/>
                  </w:r>
                  <w:r>
                    <w:rPr>
                      <w:rFonts w:ascii="Times New Roman" w:hAnsi="Times New Roman"/>
                      <w:kern w:val="0"/>
                    </w:rPr>
                    <w:instrText xml:space="preserve"> </w:instrText>
                  </w:r>
                  <w:r>
                    <w:rPr>
                      <w:rFonts w:hint="eastAsia" w:ascii="Times New Roman" w:hAnsi="Times New Roman"/>
                      <w:kern w:val="0"/>
                    </w:rPr>
                    <w:instrText xml:space="preserve">=SUM(ABOVE)</w:instrText>
                  </w:r>
                  <w:r>
                    <w:rPr>
                      <w:rFonts w:ascii="Times New Roman" w:hAnsi="Times New Roman"/>
                      <w:kern w:val="0"/>
                    </w:rPr>
                    <w:instrText xml:space="preserve"> </w:instrText>
                  </w:r>
                  <w:r>
                    <w:rPr>
                      <w:rFonts w:ascii="Times New Roman" w:hAnsi="Times New Roman"/>
                      <w:kern w:val="0"/>
                    </w:rPr>
                    <w:fldChar w:fldCharType="separate"/>
                  </w:r>
                  <w:r>
                    <w:rPr>
                      <w:rFonts w:ascii="Times New Roman" w:hAnsi="Times New Roman"/>
                      <w:kern w:val="0"/>
                    </w:rPr>
                    <w:t>0.152</w:t>
                  </w:r>
                  <w:r>
                    <w:rPr>
                      <w:rFonts w:ascii="Times New Roman" w:hAnsi="Times New Roman"/>
                      <w:kern w:val="0"/>
                    </w:rPr>
                    <w:fldChar w:fldCharType="end"/>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kern w:val="0"/>
                    </w:rPr>
                    <w:t>5000</w:t>
                  </w:r>
                </w:p>
              </w:tc>
              <w:tc>
                <w:tcPr>
                  <w:tcW w:w="992"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0.30</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25</w:t>
                  </w:r>
                </w:p>
              </w:tc>
              <w:tc>
                <w:tcPr>
                  <w:tcW w:w="1134" w:type="dxa"/>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0.125</w:t>
                  </w:r>
                </w:p>
              </w:tc>
            </w:tr>
          </w:tbl>
          <w:p>
            <w:pPr>
              <w:spacing w:line="360" w:lineRule="auto"/>
              <w:ind w:firstLine="480" w:firstLineChars="200"/>
              <w:rPr>
                <w:rFonts w:ascii="Times New Roman" w:hAnsi="Times New Roman" w:cs="宋体"/>
                <w:sz w:val="24"/>
              </w:rPr>
            </w:pPr>
            <w:r>
              <w:rPr>
                <w:rFonts w:hint="eastAsia" w:ascii="Times New Roman" w:hAnsi="Times New Roman" w:cs="宋体"/>
                <w:sz w:val="24"/>
              </w:rPr>
              <w:t>根据核算，采取本环评提出的各项污染防治措施之后，本项目生产过程中粉尘排放浓度可达到《大气污染物综合排放标准》（GB16297-1996）表2中二级标准。</w:t>
            </w:r>
          </w:p>
          <w:p>
            <w:pPr>
              <w:spacing w:line="360" w:lineRule="auto"/>
              <w:ind w:firstLine="482" w:firstLineChars="200"/>
              <w:rPr>
                <w:rFonts w:ascii="Times New Roman" w:hAnsi="Times New Roman" w:cs="宋体"/>
                <w:b/>
                <w:sz w:val="24"/>
              </w:rPr>
            </w:pPr>
            <w:r>
              <w:rPr>
                <w:rFonts w:hint="eastAsia" w:ascii="Times New Roman" w:hAnsi="Times New Roman" w:cs="宋体"/>
                <w:b/>
                <w:sz w:val="24"/>
              </w:rPr>
              <w:t>（2）筛选计算与评价等级确定</w:t>
            </w:r>
          </w:p>
          <w:p>
            <w:pPr>
              <w:spacing w:line="360" w:lineRule="auto"/>
              <w:ind w:firstLine="480" w:firstLineChars="200"/>
              <w:rPr>
                <w:rFonts w:ascii="Times New Roman" w:hAnsi="Times New Roman" w:cs="宋体"/>
                <w:sz w:val="24"/>
              </w:rPr>
            </w:pPr>
            <w:r>
              <w:rPr>
                <w:rFonts w:hint="eastAsia" w:ascii="Times New Roman" w:hAnsi="Times New Roman" w:cs="宋体"/>
                <w:sz w:val="24"/>
              </w:rPr>
              <w:t>本评价采用《环境影响评价技术导则 大气环境》（HJ2.2-2018）“附录A 推荐模型清单”中的</w:t>
            </w:r>
            <w:r>
              <w:rPr>
                <w:rFonts w:ascii="Times New Roman" w:hAnsi="Times New Roman" w:cs="宋体"/>
                <w:sz w:val="24"/>
              </w:rPr>
              <w:t>AERSCREEN</w:t>
            </w:r>
            <w:r>
              <w:rPr>
                <w:rFonts w:hint="eastAsia" w:ascii="Times New Roman" w:hAnsi="Times New Roman" w:cs="宋体"/>
                <w:sz w:val="24"/>
              </w:rPr>
              <w:t>模型进行筛选计算，并确定大气环境影响评价等级。</w:t>
            </w:r>
          </w:p>
          <w:p>
            <w:pPr>
              <w:spacing w:before="312" w:beforeLines="100"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3</w:t>
            </w:r>
            <w:r>
              <w:rPr>
                <w:rFonts w:ascii="Times New Roman" w:hAnsi="Times New Roman" w:cs="Times New Roman"/>
                <w:b/>
                <w:bCs/>
              </w:rPr>
              <w:fldChar w:fldCharType="end"/>
            </w:r>
            <w:r>
              <w:rPr>
                <w:rFonts w:hint="eastAsia" w:ascii="Times New Roman" w:hAnsi="Times New Roman" w:cs="Times New Roman"/>
                <w:b/>
                <w:bCs/>
              </w:rPr>
              <w:t xml:space="preserve">   评价等级判别表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6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51" w:type="dxa"/>
                  <w:vAlign w:val="center"/>
                </w:tcPr>
                <w:p>
                  <w:pPr>
                    <w:pStyle w:val="46"/>
                    <w:rPr>
                      <w:b/>
                    </w:rPr>
                  </w:pPr>
                  <w:r>
                    <w:rPr>
                      <w:rFonts w:hint="eastAsia" w:eastAsia="宋体" w:cs="Times New Roman"/>
                      <w:b/>
                      <w:szCs w:val="21"/>
                    </w:rPr>
                    <w:t>评价工作等级</w:t>
                  </w:r>
                </w:p>
              </w:tc>
              <w:tc>
                <w:tcPr>
                  <w:tcW w:w="6375" w:type="dxa"/>
                  <w:vAlign w:val="center"/>
                </w:tcPr>
                <w:p>
                  <w:pPr>
                    <w:pStyle w:val="46"/>
                    <w:rPr>
                      <w:rFonts w:eastAsia="宋体" w:cs="Times New Roman"/>
                      <w:b/>
                      <w:szCs w:val="21"/>
                    </w:rPr>
                  </w:pPr>
                  <w:r>
                    <w:rPr>
                      <w:rFonts w:hint="eastAsia" w:eastAsia="宋体" w:cs="Times New Roman"/>
                      <w:b/>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51" w:type="dxa"/>
                  <w:vAlign w:val="center"/>
                </w:tcPr>
                <w:p>
                  <w:pPr>
                    <w:pStyle w:val="46"/>
                    <w:rPr>
                      <w:rFonts w:cs="Times New Roman" w:eastAsiaTheme="minorEastAsia"/>
                    </w:rPr>
                  </w:pPr>
                  <w:r>
                    <w:rPr>
                      <w:rFonts w:cs="Times New Roman" w:eastAsiaTheme="minorEastAsia"/>
                    </w:rPr>
                    <w:t>一级评价</w:t>
                  </w:r>
                </w:p>
              </w:tc>
              <w:tc>
                <w:tcPr>
                  <w:tcW w:w="6375" w:type="dxa"/>
                  <w:vAlign w:val="center"/>
                </w:tcPr>
                <w:p>
                  <w:pPr>
                    <w:pStyle w:val="46"/>
                    <w:rPr>
                      <w:rFonts w:cs="Times New Roman" w:eastAsiaTheme="minorEastAsia"/>
                    </w:rPr>
                  </w:pPr>
                  <w:r>
                    <w:rPr>
                      <w:rFonts w:cs="Times New Roman" w:eastAsiaTheme="minorEastAsia"/>
                    </w:rPr>
                    <w:t>P</w:t>
                  </w:r>
                  <w:r>
                    <w:rPr>
                      <w:rFonts w:cs="Times New Roman" w:eastAsiaTheme="minorEastAsia"/>
                      <w:vertAlign w:val="subscript"/>
                    </w:rPr>
                    <w:t>max</w:t>
                  </w:r>
                  <w:r>
                    <w:rPr>
                      <w:rFonts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51" w:type="dxa"/>
                  <w:vAlign w:val="center"/>
                </w:tcPr>
                <w:p>
                  <w:pPr>
                    <w:pStyle w:val="46"/>
                    <w:rPr>
                      <w:rFonts w:cs="Times New Roman" w:eastAsiaTheme="minorEastAsia"/>
                    </w:rPr>
                  </w:pPr>
                  <w:r>
                    <w:rPr>
                      <w:rFonts w:cs="Times New Roman" w:eastAsiaTheme="minorEastAsia"/>
                    </w:rPr>
                    <w:t>二级评价</w:t>
                  </w:r>
                </w:p>
              </w:tc>
              <w:tc>
                <w:tcPr>
                  <w:tcW w:w="6375" w:type="dxa"/>
                  <w:vAlign w:val="center"/>
                </w:tcPr>
                <w:p>
                  <w:pPr>
                    <w:pStyle w:val="46"/>
                    <w:rPr>
                      <w:rFonts w:cs="Times New Roman" w:eastAsiaTheme="minorEastAsia"/>
                    </w:rPr>
                  </w:pPr>
                  <w:r>
                    <w:rPr>
                      <w:rFonts w:hint="eastAsia" w:cs="Times New Roman" w:eastAsiaTheme="minorEastAsia"/>
                    </w:rPr>
                    <w:t>1%≤</w:t>
                  </w:r>
                  <w:r>
                    <w:rPr>
                      <w:rFonts w:cs="Times New Roman" w:eastAsiaTheme="minorEastAsia"/>
                    </w:rPr>
                    <w:t>P</w:t>
                  </w:r>
                  <w:r>
                    <w:rPr>
                      <w:rFonts w:cs="Times New Roman" w:eastAsiaTheme="minorEastAsia"/>
                      <w:vertAlign w:val="subscript"/>
                    </w:rPr>
                    <w:t>max</w:t>
                  </w:r>
                  <w:r>
                    <w:rPr>
                      <w:rFonts w:hint="eastAsia"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51" w:type="dxa"/>
                  <w:vAlign w:val="center"/>
                </w:tcPr>
                <w:p>
                  <w:pPr>
                    <w:pStyle w:val="46"/>
                    <w:rPr>
                      <w:rFonts w:cs="Times New Roman" w:eastAsiaTheme="minorEastAsia"/>
                    </w:rPr>
                  </w:pPr>
                  <w:r>
                    <w:rPr>
                      <w:rFonts w:cs="Times New Roman" w:eastAsiaTheme="minorEastAsia"/>
                    </w:rPr>
                    <w:t>三级评价</w:t>
                  </w:r>
                </w:p>
              </w:tc>
              <w:tc>
                <w:tcPr>
                  <w:tcW w:w="6375" w:type="dxa"/>
                  <w:vAlign w:val="center"/>
                </w:tcPr>
                <w:p>
                  <w:pPr>
                    <w:pStyle w:val="46"/>
                    <w:rPr>
                      <w:rFonts w:cs="Times New Roman" w:eastAsiaTheme="minorEastAsia"/>
                    </w:rPr>
                  </w:pPr>
                  <w:r>
                    <w:rPr>
                      <w:rFonts w:cs="Times New Roman" w:eastAsiaTheme="minorEastAsia"/>
                    </w:rPr>
                    <w:t>P</w:t>
                  </w:r>
                  <w:r>
                    <w:rPr>
                      <w:rFonts w:cs="Times New Roman" w:eastAsiaTheme="minorEastAsia"/>
                      <w:vertAlign w:val="subscript"/>
                    </w:rPr>
                    <w:t>max</w:t>
                  </w:r>
                  <w:r>
                    <w:rPr>
                      <w:rFonts w:hint="eastAsia" w:cs="Times New Roman" w:eastAsiaTheme="minorEastAsia"/>
                    </w:rPr>
                    <w:t>＜1%</w:t>
                  </w:r>
                </w:p>
              </w:tc>
            </w:tr>
          </w:tbl>
          <w:p>
            <w:pPr>
              <w:spacing w:before="312" w:beforeLines="100" w:line="360" w:lineRule="auto"/>
              <w:ind w:firstLine="422" w:firstLineChars="200"/>
              <w:jc w:val="center"/>
              <w:rPr>
                <w:rFonts w:ascii="Times New Roman" w:hAnsi="Times New Roman" w:cs="宋体"/>
                <w:b/>
                <w:sz w:val="24"/>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4</w:t>
            </w:r>
            <w:r>
              <w:rPr>
                <w:rFonts w:ascii="Times New Roman" w:hAnsi="Times New Roman" w:cs="Times New Roman"/>
                <w:b/>
                <w:bCs/>
              </w:rPr>
              <w:fldChar w:fldCharType="end"/>
            </w:r>
            <w:r>
              <w:rPr>
                <w:rFonts w:hint="eastAsia" w:ascii="Times New Roman" w:hAnsi="Times New Roman" w:cs="Times New Roman"/>
                <w:b/>
                <w:bCs/>
              </w:rPr>
              <w:t xml:space="preserve">   估算模型（区域环境）参数表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407"/>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387" w:type="dxa"/>
                  <w:gridSpan w:val="2"/>
                  <w:vAlign w:val="center"/>
                </w:tcPr>
                <w:p>
                  <w:pPr>
                    <w:pStyle w:val="46"/>
                    <w:rPr>
                      <w:b/>
                    </w:rPr>
                  </w:pPr>
                  <w:r>
                    <w:rPr>
                      <w:rFonts w:eastAsia="宋体" w:cs="Times New Roman"/>
                      <w:b/>
                      <w:szCs w:val="21"/>
                    </w:rPr>
                    <w:t>参数</w:t>
                  </w:r>
                </w:p>
              </w:tc>
              <w:tc>
                <w:tcPr>
                  <w:tcW w:w="3539" w:type="dxa"/>
                  <w:vAlign w:val="center"/>
                </w:tcPr>
                <w:p>
                  <w:pPr>
                    <w:pStyle w:val="46"/>
                    <w:rPr>
                      <w:b/>
                    </w:rPr>
                  </w:pPr>
                  <w:r>
                    <w:rPr>
                      <w:rFonts w:eastAsia="宋体" w:cs="Times New Roman"/>
                      <w:b/>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restart"/>
                  <w:vAlign w:val="center"/>
                </w:tcPr>
                <w:p>
                  <w:pPr>
                    <w:pStyle w:val="46"/>
                  </w:pPr>
                  <w:r>
                    <w:rPr>
                      <w:rFonts w:eastAsia="宋体" w:cs="Times New Roman"/>
                      <w:szCs w:val="21"/>
                    </w:rPr>
                    <w:t>城市/农村选项</w:t>
                  </w:r>
                </w:p>
              </w:tc>
              <w:tc>
                <w:tcPr>
                  <w:tcW w:w="3407" w:type="dxa"/>
                  <w:vAlign w:val="center"/>
                </w:tcPr>
                <w:p>
                  <w:pPr>
                    <w:pStyle w:val="46"/>
                  </w:pPr>
                  <w:r>
                    <w:rPr>
                      <w:rFonts w:eastAsia="宋体" w:cs="Times New Roman"/>
                      <w:szCs w:val="21"/>
                    </w:rPr>
                    <w:t>城市/农村</w:t>
                  </w:r>
                </w:p>
              </w:tc>
              <w:tc>
                <w:tcPr>
                  <w:tcW w:w="3539" w:type="dxa"/>
                  <w:vAlign w:val="center"/>
                </w:tcPr>
                <w:p>
                  <w:pPr>
                    <w:pStyle w:val="46"/>
                  </w:pPr>
                  <w:r>
                    <w:rPr>
                      <w:rFonts w:hint="eastAsia" w:eastAsia="宋体" w:cs="Times New Roman"/>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continue"/>
                  <w:vAlign w:val="center"/>
                </w:tcPr>
                <w:p>
                  <w:pPr>
                    <w:pStyle w:val="46"/>
                  </w:pPr>
                </w:p>
              </w:tc>
              <w:tc>
                <w:tcPr>
                  <w:tcW w:w="3407" w:type="dxa"/>
                  <w:vAlign w:val="center"/>
                </w:tcPr>
                <w:p>
                  <w:pPr>
                    <w:pStyle w:val="46"/>
                  </w:pPr>
                  <w:r>
                    <w:rPr>
                      <w:rFonts w:eastAsia="宋体" w:cs="Times New Roman"/>
                      <w:szCs w:val="21"/>
                    </w:rPr>
                    <w:t>人口数（城市选项时）</w:t>
                  </w:r>
                </w:p>
              </w:tc>
              <w:tc>
                <w:tcPr>
                  <w:tcW w:w="3539" w:type="dxa"/>
                  <w:vAlign w:val="center"/>
                </w:tcPr>
                <w:p>
                  <w:pPr>
                    <w:pStyle w:val="46"/>
                  </w:pPr>
                  <w:r>
                    <w:rPr>
                      <w:rFonts w:hint="eastAsia"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387" w:type="dxa"/>
                  <w:gridSpan w:val="2"/>
                  <w:vAlign w:val="center"/>
                </w:tcPr>
                <w:p>
                  <w:pPr>
                    <w:pStyle w:val="46"/>
                  </w:pPr>
                  <w:r>
                    <w:rPr>
                      <w:rFonts w:eastAsia="宋体" w:cs="Times New Roman"/>
                      <w:szCs w:val="21"/>
                    </w:rPr>
                    <w:t>最高环境温度/℃</w:t>
                  </w:r>
                </w:p>
              </w:tc>
              <w:tc>
                <w:tcPr>
                  <w:tcW w:w="3539" w:type="dxa"/>
                  <w:vAlign w:val="center"/>
                </w:tcPr>
                <w:p>
                  <w:pPr>
                    <w:pStyle w:val="46"/>
                  </w:pPr>
                  <w:r>
                    <w:rPr>
                      <w:rFonts w:hint="eastAsia" w:eastAsia="宋体" w:cs="Times New Roman"/>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387" w:type="dxa"/>
                  <w:gridSpan w:val="2"/>
                  <w:vAlign w:val="center"/>
                </w:tcPr>
                <w:p>
                  <w:pPr>
                    <w:pStyle w:val="46"/>
                  </w:pPr>
                  <w:r>
                    <w:rPr>
                      <w:rFonts w:eastAsia="宋体" w:cs="Times New Roman"/>
                      <w:szCs w:val="21"/>
                    </w:rPr>
                    <w:t>最低环境温度/℃</w:t>
                  </w:r>
                </w:p>
              </w:tc>
              <w:tc>
                <w:tcPr>
                  <w:tcW w:w="3539" w:type="dxa"/>
                  <w:vAlign w:val="center"/>
                </w:tcPr>
                <w:p>
                  <w:pPr>
                    <w:pStyle w:val="46"/>
                  </w:pPr>
                  <w:r>
                    <w:rPr>
                      <w:rFonts w:hint="eastAsia" w:eastAsia="宋体" w:cs="Times New Roman"/>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387" w:type="dxa"/>
                  <w:gridSpan w:val="2"/>
                  <w:vAlign w:val="center"/>
                </w:tcPr>
                <w:p>
                  <w:pPr>
                    <w:pStyle w:val="46"/>
                  </w:pPr>
                  <w:r>
                    <w:rPr>
                      <w:rFonts w:hint="eastAsia" w:eastAsia="宋体" w:cs="Times New Roman"/>
                      <w:szCs w:val="21"/>
                    </w:rPr>
                    <w:t>通用地表类型</w:t>
                  </w:r>
                </w:p>
              </w:tc>
              <w:tc>
                <w:tcPr>
                  <w:tcW w:w="3539" w:type="dxa"/>
                  <w:vAlign w:val="center"/>
                </w:tcPr>
                <w:p>
                  <w:pPr>
                    <w:pStyle w:val="46"/>
                  </w:pPr>
                  <w:r>
                    <w:rPr>
                      <w:rFonts w:hint="eastAsia" w:eastAsia="宋体" w:cs="Times New Roman"/>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387" w:type="dxa"/>
                  <w:gridSpan w:val="2"/>
                  <w:vAlign w:val="center"/>
                </w:tcPr>
                <w:p>
                  <w:pPr>
                    <w:pStyle w:val="46"/>
                  </w:pPr>
                  <w:r>
                    <w:rPr>
                      <w:rFonts w:eastAsia="宋体" w:cs="Times New Roman"/>
                      <w:szCs w:val="21"/>
                    </w:rPr>
                    <w:t>区域湿度条件</w:t>
                  </w:r>
                </w:p>
              </w:tc>
              <w:tc>
                <w:tcPr>
                  <w:tcW w:w="3539" w:type="dxa"/>
                  <w:vAlign w:val="center"/>
                </w:tcPr>
                <w:p>
                  <w:pPr>
                    <w:pStyle w:val="46"/>
                  </w:pPr>
                  <w:r>
                    <w:rPr>
                      <w:rFonts w:hint="eastAsia" w:eastAsia="宋体" w:cs="Times New Roman"/>
                      <w:szCs w:val="21"/>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restart"/>
                  <w:vAlign w:val="center"/>
                </w:tcPr>
                <w:p>
                  <w:pPr>
                    <w:pStyle w:val="46"/>
                  </w:pPr>
                  <w:r>
                    <w:rPr>
                      <w:rFonts w:eastAsia="宋体" w:cs="Times New Roman"/>
                      <w:szCs w:val="21"/>
                    </w:rPr>
                    <w:t>是否考虑地形</w:t>
                  </w:r>
                </w:p>
              </w:tc>
              <w:tc>
                <w:tcPr>
                  <w:tcW w:w="3407" w:type="dxa"/>
                  <w:vAlign w:val="center"/>
                </w:tcPr>
                <w:p>
                  <w:pPr>
                    <w:pStyle w:val="46"/>
                  </w:pPr>
                  <w:r>
                    <w:rPr>
                      <w:rFonts w:eastAsia="宋体" w:cs="Times New Roman"/>
                      <w:szCs w:val="21"/>
                    </w:rPr>
                    <w:t>考虑地形</w:t>
                  </w:r>
                </w:p>
              </w:tc>
              <w:tc>
                <w:tcPr>
                  <w:tcW w:w="3539" w:type="dxa"/>
                  <w:vAlign w:val="center"/>
                </w:tcPr>
                <w:p>
                  <w:pPr>
                    <w:pStyle w:val="46"/>
                  </w:pPr>
                  <w:r>
                    <w:rPr>
                      <w:rFonts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continue"/>
                  <w:vAlign w:val="center"/>
                </w:tcPr>
                <w:p>
                  <w:pPr>
                    <w:pStyle w:val="46"/>
                  </w:pPr>
                </w:p>
              </w:tc>
              <w:tc>
                <w:tcPr>
                  <w:tcW w:w="3407" w:type="dxa"/>
                  <w:vAlign w:val="center"/>
                </w:tcPr>
                <w:p>
                  <w:pPr>
                    <w:pStyle w:val="46"/>
                  </w:pPr>
                  <w:r>
                    <w:rPr>
                      <w:rFonts w:eastAsia="宋体" w:cs="Times New Roman"/>
                      <w:szCs w:val="21"/>
                    </w:rPr>
                    <w:t>地形数据分辨率/m</w:t>
                  </w:r>
                </w:p>
              </w:tc>
              <w:tc>
                <w:tcPr>
                  <w:tcW w:w="3539" w:type="dxa"/>
                  <w:vAlign w:val="center"/>
                </w:tcPr>
                <w:p>
                  <w:pPr>
                    <w:pStyle w:val="46"/>
                  </w:pPr>
                  <w:r>
                    <w:rPr>
                      <w:rFonts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restart"/>
                  <w:vAlign w:val="center"/>
                </w:tcPr>
                <w:p>
                  <w:pPr>
                    <w:pStyle w:val="46"/>
                  </w:pPr>
                  <w:r>
                    <w:rPr>
                      <w:rFonts w:eastAsia="宋体" w:cs="Times New Roman"/>
                      <w:szCs w:val="21"/>
                    </w:rPr>
                    <w:t>是否考虑岸线熏烟</w:t>
                  </w:r>
                </w:p>
              </w:tc>
              <w:tc>
                <w:tcPr>
                  <w:tcW w:w="3407" w:type="dxa"/>
                  <w:vAlign w:val="center"/>
                </w:tcPr>
                <w:p>
                  <w:pPr>
                    <w:pStyle w:val="46"/>
                  </w:pPr>
                  <w:r>
                    <w:rPr>
                      <w:rFonts w:eastAsia="宋体" w:cs="Times New Roman"/>
                      <w:szCs w:val="21"/>
                    </w:rPr>
                    <w:t>考虑岸线熏烟</w:t>
                  </w:r>
                </w:p>
              </w:tc>
              <w:tc>
                <w:tcPr>
                  <w:tcW w:w="3539" w:type="dxa"/>
                  <w:vAlign w:val="center"/>
                </w:tcPr>
                <w:p>
                  <w:pPr>
                    <w:pStyle w:val="46"/>
                  </w:pPr>
                  <w:r>
                    <w:rPr>
                      <w:rFonts w:eastAsia="宋体"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continue"/>
                  <w:vAlign w:val="center"/>
                </w:tcPr>
                <w:p>
                  <w:pPr>
                    <w:pStyle w:val="46"/>
                  </w:pPr>
                </w:p>
              </w:tc>
              <w:tc>
                <w:tcPr>
                  <w:tcW w:w="3407" w:type="dxa"/>
                  <w:vAlign w:val="center"/>
                </w:tcPr>
                <w:p>
                  <w:pPr>
                    <w:pStyle w:val="46"/>
                  </w:pPr>
                  <w:r>
                    <w:rPr>
                      <w:rFonts w:eastAsia="宋体" w:cs="Times New Roman"/>
                      <w:szCs w:val="21"/>
                    </w:rPr>
                    <w:t>岸线距离/km</w:t>
                  </w:r>
                </w:p>
              </w:tc>
              <w:tc>
                <w:tcPr>
                  <w:tcW w:w="3539" w:type="dxa"/>
                  <w:vAlign w:val="center"/>
                </w:tcPr>
                <w:p>
                  <w:pPr>
                    <w:pStyle w:val="46"/>
                  </w:pPr>
                  <w:r>
                    <w:rPr>
                      <w:rFonts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vMerge w:val="continue"/>
                  <w:vAlign w:val="center"/>
                </w:tcPr>
                <w:p>
                  <w:pPr>
                    <w:pStyle w:val="46"/>
                  </w:pPr>
                </w:p>
              </w:tc>
              <w:tc>
                <w:tcPr>
                  <w:tcW w:w="3407" w:type="dxa"/>
                  <w:vAlign w:val="center"/>
                </w:tcPr>
                <w:p>
                  <w:pPr>
                    <w:pStyle w:val="46"/>
                  </w:pPr>
                  <w:r>
                    <w:rPr>
                      <w:rFonts w:eastAsia="宋体" w:cs="Times New Roman"/>
                      <w:szCs w:val="21"/>
                    </w:rPr>
                    <w:t>岸线方向/°</w:t>
                  </w:r>
                </w:p>
              </w:tc>
              <w:tc>
                <w:tcPr>
                  <w:tcW w:w="3539" w:type="dxa"/>
                  <w:vAlign w:val="center"/>
                </w:tcPr>
                <w:p>
                  <w:pPr>
                    <w:pStyle w:val="46"/>
                  </w:pPr>
                  <w:r>
                    <w:rPr>
                      <w:rFonts w:eastAsia="宋体" w:cs="Times New Roman"/>
                      <w:szCs w:val="21"/>
                    </w:rPr>
                    <w:t>/</w:t>
                  </w:r>
                </w:p>
              </w:tc>
            </w:tr>
          </w:tbl>
          <w:p>
            <w:pPr>
              <w:spacing w:before="312" w:beforeLines="100"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5</w:t>
            </w:r>
            <w:r>
              <w:rPr>
                <w:rFonts w:ascii="Times New Roman" w:hAnsi="Times New Roman" w:cs="Times New Roman"/>
                <w:b/>
                <w:bCs/>
              </w:rPr>
              <w:fldChar w:fldCharType="end"/>
            </w:r>
            <w:r>
              <w:rPr>
                <w:rFonts w:hint="eastAsia" w:ascii="Times New Roman" w:hAnsi="Times New Roman" w:cs="Times New Roman"/>
                <w:b/>
                <w:bCs/>
              </w:rPr>
              <w:t xml:space="preserve">   估算模型（点源）参数表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850"/>
              <w:gridCol w:w="851"/>
              <w:gridCol w:w="850"/>
              <w:gridCol w:w="851"/>
              <w:gridCol w:w="70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562" w:type="dxa"/>
                  <w:vMerge w:val="restart"/>
                  <w:vAlign w:val="center"/>
                </w:tcPr>
                <w:p>
                  <w:pPr>
                    <w:pStyle w:val="46"/>
                    <w:rPr>
                      <w:rFonts w:cs="Times New Roman" w:eastAsiaTheme="minorEastAsia"/>
                      <w:b/>
                    </w:rPr>
                  </w:pPr>
                  <w:r>
                    <w:rPr>
                      <w:rFonts w:cs="Times New Roman" w:eastAsiaTheme="minorEastAsia"/>
                      <w:b/>
                    </w:rPr>
                    <w:t>序号</w:t>
                  </w:r>
                </w:p>
              </w:tc>
              <w:tc>
                <w:tcPr>
                  <w:tcW w:w="1418" w:type="dxa"/>
                  <w:vMerge w:val="restart"/>
                  <w:vAlign w:val="center"/>
                </w:tcPr>
                <w:p>
                  <w:pPr>
                    <w:pStyle w:val="46"/>
                    <w:rPr>
                      <w:rFonts w:cs="Times New Roman" w:eastAsiaTheme="minorEastAsia"/>
                      <w:b/>
                      <w:szCs w:val="21"/>
                    </w:rPr>
                  </w:pPr>
                  <w:r>
                    <w:rPr>
                      <w:rFonts w:cs="Times New Roman" w:eastAsiaTheme="minorEastAsia"/>
                      <w:b/>
                      <w:szCs w:val="21"/>
                    </w:rPr>
                    <w:t>点源名称</w:t>
                  </w:r>
                </w:p>
              </w:tc>
              <w:tc>
                <w:tcPr>
                  <w:tcW w:w="850" w:type="dxa"/>
                  <w:vMerge w:val="restart"/>
                  <w:vAlign w:val="center"/>
                </w:tcPr>
                <w:p>
                  <w:pPr>
                    <w:pStyle w:val="46"/>
                    <w:rPr>
                      <w:rFonts w:cs="Times New Roman" w:eastAsiaTheme="minorEastAsia"/>
                      <w:b/>
                      <w:szCs w:val="21"/>
                    </w:rPr>
                  </w:pPr>
                  <w:r>
                    <w:rPr>
                      <w:rFonts w:cs="Times New Roman" w:eastAsiaTheme="minorEastAsia"/>
                      <w:b/>
                      <w:szCs w:val="21"/>
                    </w:rPr>
                    <w:t>排气筒高度（m）</w:t>
                  </w:r>
                </w:p>
              </w:tc>
              <w:tc>
                <w:tcPr>
                  <w:tcW w:w="851" w:type="dxa"/>
                  <w:vMerge w:val="restart"/>
                  <w:vAlign w:val="center"/>
                </w:tcPr>
                <w:p>
                  <w:pPr>
                    <w:pStyle w:val="46"/>
                    <w:rPr>
                      <w:rFonts w:cs="Times New Roman" w:eastAsiaTheme="minorEastAsia"/>
                      <w:b/>
                      <w:szCs w:val="21"/>
                    </w:rPr>
                  </w:pPr>
                  <w:r>
                    <w:rPr>
                      <w:rFonts w:hint="eastAsia" w:cs="Times New Roman" w:eastAsiaTheme="minorEastAsia"/>
                      <w:b/>
                      <w:szCs w:val="21"/>
                    </w:rPr>
                    <w:t>排气筒内径（m）</w:t>
                  </w:r>
                </w:p>
              </w:tc>
              <w:tc>
                <w:tcPr>
                  <w:tcW w:w="850" w:type="dxa"/>
                  <w:vMerge w:val="restart"/>
                  <w:vAlign w:val="center"/>
                </w:tcPr>
                <w:p>
                  <w:pPr>
                    <w:pStyle w:val="46"/>
                    <w:rPr>
                      <w:rFonts w:cs="Times New Roman" w:eastAsiaTheme="minorEastAsia"/>
                      <w:b/>
                      <w:szCs w:val="21"/>
                    </w:rPr>
                  </w:pPr>
                  <w:r>
                    <w:rPr>
                      <w:rFonts w:hint="eastAsia" w:cs="Times New Roman" w:eastAsiaTheme="minorEastAsia"/>
                      <w:b/>
                      <w:szCs w:val="21"/>
                    </w:rPr>
                    <w:t>风量(m</w:t>
                  </w:r>
                  <w:r>
                    <w:rPr>
                      <w:rFonts w:hint="eastAsia" w:cs="Times New Roman" w:eastAsiaTheme="minorEastAsia"/>
                      <w:b/>
                      <w:szCs w:val="21"/>
                      <w:vertAlign w:val="superscript"/>
                    </w:rPr>
                    <w:t>3</w:t>
                  </w:r>
                  <w:r>
                    <w:rPr>
                      <w:rFonts w:hint="eastAsia" w:cs="Times New Roman" w:eastAsiaTheme="minorEastAsia"/>
                      <w:b/>
                      <w:szCs w:val="21"/>
                    </w:rPr>
                    <w:t>/h)</w:t>
                  </w:r>
                </w:p>
              </w:tc>
              <w:tc>
                <w:tcPr>
                  <w:tcW w:w="851" w:type="dxa"/>
                  <w:vMerge w:val="restart"/>
                  <w:vAlign w:val="center"/>
                </w:tcPr>
                <w:p>
                  <w:pPr>
                    <w:jc w:val="center"/>
                    <w:rPr>
                      <w:b/>
                    </w:rPr>
                  </w:pPr>
                  <w:r>
                    <w:rPr>
                      <w:rFonts w:hint="eastAsia"/>
                      <w:b/>
                    </w:rPr>
                    <w:t>烟气温度（℃）</w:t>
                  </w:r>
                </w:p>
              </w:tc>
              <w:tc>
                <w:tcPr>
                  <w:tcW w:w="709" w:type="dxa"/>
                  <w:vMerge w:val="restart"/>
                  <w:vAlign w:val="center"/>
                </w:tcPr>
                <w:p>
                  <w:pPr>
                    <w:jc w:val="center"/>
                    <w:rPr>
                      <w:b/>
                    </w:rPr>
                  </w:pPr>
                  <w:r>
                    <w:rPr>
                      <w:rFonts w:hint="eastAsia"/>
                      <w:b/>
                    </w:rPr>
                    <w:t>排放工况</w:t>
                  </w:r>
                </w:p>
              </w:tc>
              <w:tc>
                <w:tcPr>
                  <w:tcW w:w="2835" w:type="dxa"/>
                  <w:vAlign w:val="center"/>
                </w:tcPr>
                <w:p>
                  <w:pPr>
                    <w:pStyle w:val="46"/>
                    <w:rPr>
                      <w:rFonts w:cs="Times New Roman" w:eastAsiaTheme="minorEastAsia"/>
                      <w:b/>
                      <w:szCs w:val="21"/>
                    </w:rPr>
                  </w:pPr>
                  <w:r>
                    <w:rPr>
                      <w:rFonts w:hint="eastAsia" w:cs="Times New Roman" w:eastAsiaTheme="minorEastAsia"/>
                      <w:b/>
                      <w:szCs w:val="21"/>
                    </w:rPr>
                    <w:t>评价因子源强（kg/h）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562" w:type="dxa"/>
                  <w:vMerge w:val="continue"/>
                  <w:vAlign w:val="center"/>
                </w:tcPr>
                <w:p>
                  <w:pPr>
                    <w:pStyle w:val="46"/>
                    <w:rPr>
                      <w:rFonts w:cs="Times New Roman" w:eastAsiaTheme="minorEastAsia"/>
                      <w:b/>
                    </w:rPr>
                  </w:pPr>
                </w:p>
              </w:tc>
              <w:tc>
                <w:tcPr>
                  <w:tcW w:w="1418" w:type="dxa"/>
                  <w:vMerge w:val="continue"/>
                  <w:vAlign w:val="center"/>
                </w:tcPr>
                <w:p>
                  <w:pPr>
                    <w:pStyle w:val="46"/>
                    <w:rPr>
                      <w:rFonts w:cs="Times New Roman" w:eastAsiaTheme="minorEastAsia"/>
                      <w:b/>
                      <w:szCs w:val="21"/>
                    </w:rPr>
                  </w:pPr>
                </w:p>
              </w:tc>
              <w:tc>
                <w:tcPr>
                  <w:tcW w:w="850" w:type="dxa"/>
                  <w:vMerge w:val="continue"/>
                  <w:vAlign w:val="center"/>
                </w:tcPr>
                <w:p>
                  <w:pPr>
                    <w:pStyle w:val="46"/>
                    <w:rPr>
                      <w:rFonts w:cs="Times New Roman" w:eastAsiaTheme="minorEastAsia"/>
                      <w:b/>
                      <w:szCs w:val="21"/>
                    </w:rPr>
                  </w:pPr>
                </w:p>
              </w:tc>
              <w:tc>
                <w:tcPr>
                  <w:tcW w:w="851" w:type="dxa"/>
                  <w:vMerge w:val="continue"/>
                  <w:vAlign w:val="center"/>
                </w:tcPr>
                <w:p>
                  <w:pPr>
                    <w:pStyle w:val="46"/>
                    <w:rPr>
                      <w:rFonts w:cs="Times New Roman" w:eastAsiaTheme="minorEastAsia"/>
                      <w:b/>
                      <w:szCs w:val="21"/>
                    </w:rPr>
                  </w:pPr>
                </w:p>
              </w:tc>
              <w:tc>
                <w:tcPr>
                  <w:tcW w:w="850" w:type="dxa"/>
                  <w:vMerge w:val="continue"/>
                  <w:vAlign w:val="center"/>
                </w:tcPr>
                <w:p>
                  <w:pPr>
                    <w:pStyle w:val="46"/>
                    <w:rPr>
                      <w:rFonts w:cs="Times New Roman" w:eastAsiaTheme="minorEastAsia"/>
                      <w:b/>
                      <w:szCs w:val="21"/>
                    </w:rPr>
                  </w:pPr>
                </w:p>
              </w:tc>
              <w:tc>
                <w:tcPr>
                  <w:tcW w:w="851" w:type="dxa"/>
                  <w:vMerge w:val="continue"/>
                  <w:vAlign w:val="center"/>
                </w:tcPr>
                <w:p>
                  <w:pPr>
                    <w:jc w:val="center"/>
                    <w:rPr>
                      <w:b/>
                    </w:rPr>
                  </w:pPr>
                </w:p>
              </w:tc>
              <w:tc>
                <w:tcPr>
                  <w:tcW w:w="709" w:type="dxa"/>
                  <w:vMerge w:val="continue"/>
                  <w:vAlign w:val="center"/>
                </w:tcPr>
                <w:p>
                  <w:pPr>
                    <w:jc w:val="center"/>
                    <w:rPr>
                      <w:b/>
                    </w:rPr>
                  </w:pPr>
                </w:p>
              </w:tc>
              <w:tc>
                <w:tcPr>
                  <w:tcW w:w="2835" w:type="dxa"/>
                  <w:vAlign w:val="center"/>
                </w:tcPr>
                <w:p>
                  <w:pPr>
                    <w:pStyle w:val="46"/>
                    <w:rPr>
                      <w:rFonts w:cs="Times New Roman" w:eastAsiaTheme="minorEastAsia"/>
                      <w:b/>
                      <w:szCs w:val="21"/>
                    </w:rPr>
                  </w:pPr>
                  <w:r>
                    <w:rPr>
                      <w:rFonts w:hint="eastAsia" w:cs="Times New Roman" w:eastAsiaTheme="minorEastAsia"/>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2" w:type="dxa"/>
                  <w:vAlign w:val="center"/>
                </w:tcPr>
                <w:p>
                  <w:pPr>
                    <w:pStyle w:val="46"/>
                    <w:numPr>
                      <w:ilvl w:val="0"/>
                      <w:numId w:val="12"/>
                    </w:numPr>
                    <w:rPr>
                      <w:rFonts w:cs="Times New Roman" w:eastAsiaTheme="minorEastAsia"/>
                    </w:rPr>
                  </w:pPr>
                </w:p>
              </w:tc>
              <w:tc>
                <w:tcPr>
                  <w:tcW w:w="1418" w:type="dxa"/>
                  <w:vAlign w:val="center"/>
                </w:tcPr>
                <w:p>
                  <w:pPr>
                    <w:pStyle w:val="46"/>
                    <w:rPr>
                      <w:rFonts w:cs="Times New Roman" w:eastAsiaTheme="minorEastAsia"/>
                    </w:rPr>
                  </w:pPr>
                  <w:r>
                    <w:rPr>
                      <w:rFonts w:hint="eastAsia" w:cs="Times New Roman" w:eastAsiaTheme="minorEastAsia"/>
                    </w:rPr>
                    <w:t>破碎和筛分粉尘排气筒</w:t>
                  </w:r>
                </w:p>
              </w:tc>
              <w:tc>
                <w:tcPr>
                  <w:tcW w:w="850" w:type="dxa"/>
                  <w:vAlign w:val="center"/>
                </w:tcPr>
                <w:p>
                  <w:pPr>
                    <w:pStyle w:val="46"/>
                    <w:rPr>
                      <w:rFonts w:cs="Times New Roman" w:eastAsiaTheme="minorEastAsia"/>
                    </w:rPr>
                  </w:pPr>
                  <w:r>
                    <w:rPr>
                      <w:rFonts w:hint="eastAsia" w:cs="Times New Roman" w:eastAsiaTheme="minorEastAsia"/>
                    </w:rPr>
                    <w:t>15</w:t>
                  </w:r>
                </w:p>
              </w:tc>
              <w:tc>
                <w:tcPr>
                  <w:tcW w:w="851" w:type="dxa"/>
                  <w:vAlign w:val="center"/>
                </w:tcPr>
                <w:p>
                  <w:pPr>
                    <w:pStyle w:val="46"/>
                    <w:rPr>
                      <w:rFonts w:cs="Times New Roman" w:eastAsiaTheme="minorEastAsia"/>
                    </w:rPr>
                  </w:pPr>
                  <w:r>
                    <w:rPr>
                      <w:rFonts w:hint="eastAsia" w:cs="Times New Roman" w:eastAsiaTheme="minorEastAsia"/>
                    </w:rPr>
                    <w:t>0.4</w:t>
                  </w:r>
                </w:p>
              </w:tc>
              <w:tc>
                <w:tcPr>
                  <w:tcW w:w="850" w:type="dxa"/>
                  <w:vAlign w:val="center"/>
                </w:tcPr>
                <w:p>
                  <w:pPr>
                    <w:pStyle w:val="46"/>
                    <w:rPr>
                      <w:rFonts w:cs="Times New Roman" w:eastAsiaTheme="minorEastAsia"/>
                    </w:rPr>
                  </w:pPr>
                  <w:r>
                    <w:rPr>
                      <w:rFonts w:hint="eastAsia" w:cs="Times New Roman" w:eastAsiaTheme="minorEastAsia"/>
                    </w:rPr>
                    <w:t>5000</w:t>
                  </w:r>
                </w:p>
              </w:tc>
              <w:tc>
                <w:tcPr>
                  <w:tcW w:w="851" w:type="dxa"/>
                  <w:vAlign w:val="center"/>
                </w:tcPr>
                <w:p>
                  <w:pPr>
                    <w:pStyle w:val="46"/>
                    <w:rPr>
                      <w:rFonts w:cs="Times New Roman" w:eastAsiaTheme="minorEastAsia"/>
                    </w:rPr>
                  </w:pPr>
                  <w:r>
                    <w:rPr>
                      <w:rFonts w:hint="eastAsia" w:cs="Times New Roman" w:eastAsiaTheme="minorEastAsia"/>
                    </w:rPr>
                    <w:t>20</w:t>
                  </w:r>
                </w:p>
              </w:tc>
              <w:tc>
                <w:tcPr>
                  <w:tcW w:w="709" w:type="dxa"/>
                  <w:vAlign w:val="center"/>
                </w:tcPr>
                <w:p>
                  <w:pPr>
                    <w:pStyle w:val="46"/>
                    <w:rPr>
                      <w:rFonts w:cs="Times New Roman" w:eastAsiaTheme="minorEastAsia"/>
                    </w:rPr>
                  </w:pPr>
                  <w:r>
                    <w:rPr>
                      <w:rFonts w:hint="eastAsia" w:cs="Times New Roman" w:eastAsiaTheme="minorEastAsia"/>
                    </w:rPr>
                    <w:t>连续</w:t>
                  </w:r>
                </w:p>
              </w:tc>
              <w:tc>
                <w:tcPr>
                  <w:tcW w:w="2835" w:type="dxa"/>
                  <w:vAlign w:val="center"/>
                </w:tcPr>
                <w:p>
                  <w:pPr>
                    <w:pStyle w:val="46"/>
                    <w:rPr>
                      <w:rFonts w:cs="Times New Roman" w:eastAsiaTheme="minorEastAsia"/>
                    </w:rPr>
                  </w:pPr>
                  <w:r>
                    <w:rPr>
                      <w:rFonts w:hint="eastAsia" w:cs="Times New Roman" w:eastAsiaTheme="minorEastAsia"/>
                    </w:rPr>
                    <w:t>0.125</w:t>
                  </w:r>
                </w:p>
              </w:tc>
            </w:tr>
          </w:tbl>
          <w:p>
            <w:pPr>
              <w:spacing w:before="312" w:beforeLines="100"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6</w:t>
            </w:r>
            <w:r>
              <w:rPr>
                <w:rFonts w:ascii="Times New Roman" w:hAnsi="Times New Roman" w:cs="Times New Roman"/>
                <w:b/>
                <w:bCs/>
              </w:rPr>
              <w:fldChar w:fldCharType="end"/>
            </w:r>
            <w:r>
              <w:rPr>
                <w:rFonts w:hint="eastAsia" w:ascii="Times New Roman" w:hAnsi="Times New Roman" w:cs="Times New Roman"/>
                <w:b/>
                <w:bCs/>
              </w:rPr>
              <w:t xml:space="preserve">   估算模型（面源）参数表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1417"/>
              <w:gridCol w:w="851"/>
              <w:gridCol w:w="850"/>
              <w:gridCol w:w="851"/>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562" w:type="dxa"/>
                  <w:vMerge w:val="restart"/>
                  <w:vAlign w:val="center"/>
                </w:tcPr>
                <w:p>
                  <w:pPr>
                    <w:pStyle w:val="46"/>
                    <w:rPr>
                      <w:rFonts w:cs="Times New Roman" w:eastAsiaTheme="minorEastAsia"/>
                      <w:b/>
                    </w:rPr>
                  </w:pPr>
                  <w:r>
                    <w:rPr>
                      <w:rFonts w:cs="Times New Roman" w:eastAsiaTheme="minorEastAsia"/>
                      <w:b/>
                    </w:rPr>
                    <w:t>序号</w:t>
                  </w:r>
                </w:p>
              </w:tc>
              <w:tc>
                <w:tcPr>
                  <w:tcW w:w="1418" w:type="dxa"/>
                  <w:vMerge w:val="restart"/>
                  <w:vAlign w:val="center"/>
                </w:tcPr>
                <w:p>
                  <w:pPr>
                    <w:pStyle w:val="46"/>
                    <w:rPr>
                      <w:rFonts w:cs="Times New Roman" w:eastAsiaTheme="minorEastAsia"/>
                      <w:b/>
                      <w:szCs w:val="21"/>
                    </w:rPr>
                  </w:pPr>
                  <w:r>
                    <w:rPr>
                      <w:rFonts w:cs="Times New Roman" w:eastAsiaTheme="minorEastAsia"/>
                      <w:b/>
                      <w:szCs w:val="21"/>
                    </w:rPr>
                    <w:t>点源名称</w:t>
                  </w:r>
                </w:p>
              </w:tc>
              <w:tc>
                <w:tcPr>
                  <w:tcW w:w="1417" w:type="dxa"/>
                  <w:vMerge w:val="restart"/>
                  <w:vAlign w:val="center"/>
                </w:tcPr>
                <w:p>
                  <w:pPr>
                    <w:pStyle w:val="46"/>
                    <w:rPr>
                      <w:rFonts w:cs="Times New Roman" w:eastAsiaTheme="minorEastAsia"/>
                      <w:b/>
                      <w:szCs w:val="21"/>
                    </w:rPr>
                  </w:pPr>
                  <w:r>
                    <w:rPr>
                      <w:rFonts w:hint="eastAsia" w:cs="Times New Roman" w:eastAsiaTheme="minorEastAsia"/>
                      <w:b/>
                      <w:szCs w:val="21"/>
                    </w:rPr>
                    <w:t>平均释放</w:t>
                  </w:r>
                  <w:r>
                    <w:rPr>
                      <w:rFonts w:cs="Times New Roman" w:eastAsiaTheme="minorEastAsia"/>
                      <w:b/>
                      <w:szCs w:val="21"/>
                    </w:rPr>
                    <w:t>高度（m）</w:t>
                  </w:r>
                </w:p>
              </w:tc>
              <w:tc>
                <w:tcPr>
                  <w:tcW w:w="851" w:type="dxa"/>
                  <w:vMerge w:val="restart"/>
                  <w:vAlign w:val="center"/>
                </w:tcPr>
                <w:p>
                  <w:pPr>
                    <w:pStyle w:val="46"/>
                    <w:rPr>
                      <w:rFonts w:cs="Times New Roman" w:eastAsiaTheme="minorEastAsia"/>
                      <w:b/>
                      <w:szCs w:val="21"/>
                    </w:rPr>
                  </w:pPr>
                  <w:r>
                    <w:rPr>
                      <w:rFonts w:hint="eastAsia" w:cs="Times New Roman" w:eastAsiaTheme="minorEastAsia"/>
                      <w:b/>
                      <w:szCs w:val="21"/>
                    </w:rPr>
                    <w:t>X长度（m）</w:t>
                  </w:r>
                </w:p>
              </w:tc>
              <w:tc>
                <w:tcPr>
                  <w:tcW w:w="850" w:type="dxa"/>
                  <w:vMerge w:val="restart"/>
                  <w:vAlign w:val="center"/>
                </w:tcPr>
                <w:p>
                  <w:pPr>
                    <w:pStyle w:val="46"/>
                    <w:rPr>
                      <w:rFonts w:cs="Times New Roman" w:eastAsiaTheme="minorEastAsia"/>
                      <w:b/>
                      <w:szCs w:val="21"/>
                    </w:rPr>
                  </w:pPr>
                  <w:r>
                    <w:rPr>
                      <w:rFonts w:hint="eastAsia" w:cs="Times New Roman" w:eastAsiaTheme="minorEastAsia"/>
                      <w:b/>
                      <w:szCs w:val="21"/>
                    </w:rPr>
                    <w:t>Y宽度(m/h)</w:t>
                  </w:r>
                </w:p>
              </w:tc>
              <w:tc>
                <w:tcPr>
                  <w:tcW w:w="851" w:type="dxa"/>
                  <w:vMerge w:val="restart"/>
                  <w:vAlign w:val="center"/>
                </w:tcPr>
                <w:p>
                  <w:pPr>
                    <w:jc w:val="center"/>
                    <w:rPr>
                      <w:b/>
                    </w:rPr>
                  </w:pPr>
                  <w:r>
                    <w:rPr>
                      <w:rFonts w:hint="eastAsia"/>
                      <w:b/>
                    </w:rPr>
                    <w:t>旋转角度（度）</w:t>
                  </w:r>
                </w:p>
              </w:tc>
              <w:tc>
                <w:tcPr>
                  <w:tcW w:w="2977" w:type="dxa"/>
                  <w:vAlign w:val="center"/>
                </w:tcPr>
                <w:p>
                  <w:pPr>
                    <w:pStyle w:val="46"/>
                    <w:rPr>
                      <w:rFonts w:cs="Times New Roman" w:eastAsiaTheme="minorEastAsia"/>
                      <w:b/>
                      <w:szCs w:val="21"/>
                    </w:rPr>
                  </w:pPr>
                  <w:r>
                    <w:rPr>
                      <w:rFonts w:hint="eastAsia" w:cs="Times New Roman" w:eastAsiaTheme="minorEastAsia"/>
                      <w:b/>
                      <w:szCs w:val="21"/>
                    </w:rPr>
                    <w:t>评价因子源强（kg/h）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trPr>
              <w:tc>
                <w:tcPr>
                  <w:tcW w:w="562" w:type="dxa"/>
                  <w:vMerge w:val="continue"/>
                  <w:vAlign w:val="center"/>
                </w:tcPr>
                <w:p>
                  <w:pPr>
                    <w:pStyle w:val="46"/>
                    <w:rPr>
                      <w:rFonts w:cs="Times New Roman" w:eastAsiaTheme="minorEastAsia"/>
                      <w:b/>
                    </w:rPr>
                  </w:pPr>
                </w:p>
              </w:tc>
              <w:tc>
                <w:tcPr>
                  <w:tcW w:w="1418" w:type="dxa"/>
                  <w:vMerge w:val="continue"/>
                  <w:vAlign w:val="center"/>
                </w:tcPr>
                <w:p>
                  <w:pPr>
                    <w:pStyle w:val="46"/>
                    <w:rPr>
                      <w:rFonts w:cs="Times New Roman" w:eastAsiaTheme="minorEastAsia"/>
                      <w:b/>
                      <w:szCs w:val="21"/>
                    </w:rPr>
                  </w:pPr>
                </w:p>
              </w:tc>
              <w:tc>
                <w:tcPr>
                  <w:tcW w:w="1417" w:type="dxa"/>
                  <w:vMerge w:val="continue"/>
                  <w:vAlign w:val="center"/>
                </w:tcPr>
                <w:p>
                  <w:pPr>
                    <w:pStyle w:val="46"/>
                    <w:rPr>
                      <w:rFonts w:cs="Times New Roman" w:eastAsiaTheme="minorEastAsia"/>
                      <w:b/>
                      <w:szCs w:val="21"/>
                    </w:rPr>
                  </w:pPr>
                </w:p>
              </w:tc>
              <w:tc>
                <w:tcPr>
                  <w:tcW w:w="851" w:type="dxa"/>
                  <w:vMerge w:val="continue"/>
                  <w:vAlign w:val="center"/>
                </w:tcPr>
                <w:p>
                  <w:pPr>
                    <w:pStyle w:val="46"/>
                    <w:rPr>
                      <w:rFonts w:cs="Times New Roman" w:eastAsiaTheme="minorEastAsia"/>
                      <w:b/>
                      <w:szCs w:val="21"/>
                    </w:rPr>
                  </w:pPr>
                </w:p>
              </w:tc>
              <w:tc>
                <w:tcPr>
                  <w:tcW w:w="850" w:type="dxa"/>
                  <w:vMerge w:val="continue"/>
                  <w:vAlign w:val="center"/>
                </w:tcPr>
                <w:p>
                  <w:pPr>
                    <w:pStyle w:val="46"/>
                    <w:rPr>
                      <w:rFonts w:cs="Times New Roman" w:eastAsiaTheme="minorEastAsia"/>
                      <w:b/>
                      <w:szCs w:val="21"/>
                    </w:rPr>
                  </w:pPr>
                </w:p>
              </w:tc>
              <w:tc>
                <w:tcPr>
                  <w:tcW w:w="851" w:type="dxa"/>
                  <w:vMerge w:val="continue"/>
                  <w:vAlign w:val="center"/>
                </w:tcPr>
                <w:p>
                  <w:pPr>
                    <w:jc w:val="center"/>
                    <w:rPr>
                      <w:b/>
                    </w:rPr>
                  </w:pPr>
                </w:p>
              </w:tc>
              <w:tc>
                <w:tcPr>
                  <w:tcW w:w="2977" w:type="dxa"/>
                  <w:vAlign w:val="center"/>
                </w:tcPr>
                <w:p>
                  <w:pPr>
                    <w:pStyle w:val="46"/>
                    <w:rPr>
                      <w:rFonts w:cs="Times New Roman" w:eastAsiaTheme="minorEastAsia"/>
                      <w:b/>
                      <w:szCs w:val="21"/>
                    </w:rPr>
                  </w:pPr>
                  <w:r>
                    <w:rPr>
                      <w:rFonts w:hint="eastAsia" w:cs="Times New Roman" w:eastAsiaTheme="minorEastAsia"/>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2" w:type="dxa"/>
                  <w:vAlign w:val="center"/>
                </w:tcPr>
                <w:p>
                  <w:pPr>
                    <w:pStyle w:val="46"/>
                    <w:rPr>
                      <w:rFonts w:cs="Times New Roman" w:eastAsiaTheme="minorEastAsia"/>
                    </w:rPr>
                  </w:pPr>
                  <w:r>
                    <w:rPr>
                      <w:rFonts w:hint="eastAsia" w:cs="Times New Roman" w:eastAsiaTheme="minorEastAsia"/>
                    </w:rPr>
                    <w:t>1</w:t>
                  </w:r>
                </w:p>
              </w:tc>
              <w:tc>
                <w:tcPr>
                  <w:tcW w:w="1418" w:type="dxa"/>
                  <w:vAlign w:val="center"/>
                </w:tcPr>
                <w:p>
                  <w:pPr>
                    <w:pStyle w:val="46"/>
                    <w:rPr>
                      <w:rFonts w:cs="Times New Roman" w:eastAsiaTheme="minorEastAsia"/>
                    </w:rPr>
                  </w:pPr>
                  <w:r>
                    <w:rPr>
                      <w:rFonts w:hint="eastAsia" w:cs="Times New Roman" w:eastAsiaTheme="minorEastAsia"/>
                    </w:rPr>
                    <w:t>生产厂区</w:t>
                  </w:r>
                </w:p>
              </w:tc>
              <w:tc>
                <w:tcPr>
                  <w:tcW w:w="1417" w:type="dxa"/>
                  <w:vAlign w:val="center"/>
                </w:tcPr>
                <w:p>
                  <w:pPr>
                    <w:pStyle w:val="46"/>
                    <w:rPr>
                      <w:rFonts w:cs="Times New Roman" w:eastAsiaTheme="minorEastAsia"/>
                    </w:rPr>
                  </w:pPr>
                  <w:r>
                    <w:rPr>
                      <w:rFonts w:hint="eastAsia" w:cs="Times New Roman" w:eastAsiaTheme="minorEastAsia"/>
                    </w:rPr>
                    <w:t>10</w:t>
                  </w:r>
                </w:p>
              </w:tc>
              <w:tc>
                <w:tcPr>
                  <w:tcW w:w="851" w:type="dxa"/>
                  <w:vAlign w:val="center"/>
                </w:tcPr>
                <w:p>
                  <w:pPr>
                    <w:pStyle w:val="46"/>
                    <w:rPr>
                      <w:rFonts w:cs="Times New Roman" w:eastAsiaTheme="minorEastAsia"/>
                    </w:rPr>
                  </w:pPr>
                  <w:r>
                    <w:rPr>
                      <w:rFonts w:hint="eastAsia" w:cs="Times New Roman" w:eastAsiaTheme="minorEastAsia"/>
                    </w:rPr>
                    <w:t>100</w:t>
                  </w:r>
                </w:p>
              </w:tc>
              <w:tc>
                <w:tcPr>
                  <w:tcW w:w="850" w:type="dxa"/>
                  <w:vAlign w:val="center"/>
                </w:tcPr>
                <w:p>
                  <w:pPr>
                    <w:pStyle w:val="46"/>
                    <w:rPr>
                      <w:rFonts w:cs="Times New Roman" w:eastAsiaTheme="minorEastAsia"/>
                    </w:rPr>
                  </w:pPr>
                  <w:r>
                    <w:rPr>
                      <w:rFonts w:hint="eastAsia" w:cs="Times New Roman" w:eastAsiaTheme="minorEastAsia"/>
                    </w:rPr>
                    <w:t>64</w:t>
                  </w:r>
                </w:p>
              </w:tc>
              <w:tc>
                <w:tcPr>
                  <w:tcW w:w="851" w:type="dxa"/>
                  <w:vAlign w:val="center"/>
                </w:tcPr>
                <w:p>
                  <w:pPr>
                    <w:pStyle w:val="46"/>
                    <w:rPr>
                      <w:rFonts w:cs="Times New Roman" w:eastAsiaTheme="minorEastAsia"/>
                    </w:rPr>
                  </w:pPr>
                  <w:r>
                    <w:rPr>
                      <w:rFonts w:hint="eastAsia" w:cs="Times New Roman" w:eastAsiaTheme="minorEastAsia"/>
                    </w:rPr>
                    <w:t>0</w:t>
                  </w:r>
                </w:p>
              </w:tc>
              <w:tc>
                <w:tcPr>
                  <w:tcW w:w="2977" w:type="dxa"/>
                  <w:vAlign w:val="center"/>
                </w:tcPr>
                <w:p>
                  <w:pPr>
                    <w:pStyle w:val="46"/>
                    <w:rPr>
                      <w:rFonts w:cs="Times New Roman" w:eastAsiaTheme="minorEastAsia"/>
                    </w:rPr>
                  </w:pPr>
                  <w:r>
                    <w:rPr>
                      <w:rFonts w:hint="eastAsia" w:cs="Times New Roman" w:eastAsiaTheme="minorEastAsia"/>
                    </w:rPr>
                    <w:t>0.152</w:t>
                  </w:r>
                </w:p>
              </w:tc>
            </w:tr>
          </w:tbl>
          <w:p>
            <w:pPr>
              <w:spacing w:line="360" w:lineRule="auto"/>
              <w:ind w:firstLine="482" w:firstLineChars="200"/>
              <w:rPr>
                <w:rFonts w:ascii="Times New Roman" w:hAnsi="Times New Roman" w:cs="宋体"/>
                <w:b/>
                <w:sz w:val="24"/>
              </w:rPr>
            </w:pPr>
          </w:p>
          <w:p>
            <w:pPr>
              <w:spacing w:line="360" w:lineRule="auto"/>
              <w:ind w:firstLine="480" w:firstLineChars="200"/>
              <w:rPr>
                <w:rFonts w:ascii="Times New Roman" w:hAnsi="Times New Roman" w:cs="宋体"/>
                <w:sz w:val="24"/>
              </w:rPr>
            </w:pPr>
            <w:r>
              <w:rPr>
                <w:rFonts w:hint="eastAsia" w:ascii="Times New Roman" w:hAnsi="Times New Roman" w:cs="宋体"/>
                <w:sz w:val="24"/>
              </w:rPr>
              <w:t>根据上述估算模型和参数，本项目各大气污染源筛选结果如</w:t>
            </w:r>
            <w:r>
              <w:rPr>
                <w:rFonts w:ascii="Times New Roman" w:hAnsi="Times New Roman" w:cs="宋体"/>
                <w:sz w:val="24"/>
              </w:rPr>
              <w:fldChar w:fldCharType="begin"/>
            </w:r>
            <w:r>
              <w:rPr>
                <w:rFonts w:ascii="Times New Roman" w:hAnsi="Times New Roman" w:cs="宋体"/>
                <w:sz w:val="24"/>
              </w:rPr>
              <w:instrText xml:space="preserve"> </w:instrText>
            </w:r>
            <w:r>
              <w:rPr>
                <w:rFonts w:hint="eastAsia" w:ascii="Times New Roman" w:hAnsi="Times New Roman" w:cs="宋体"/>
                <w:sz w:val="24"/>
              </w:rPr>
              <w:instrText xml:space="preserve">REF _Ref3470484 \h</w:instrText>
            </w:r>
            <w:r>
              <w:rPr>
                <w:rFonts w:ascii="Times New Roman" w:hAnsi="Times New Roman" w:cs="宋体"/>
                <w:sz w:val="24"/>
              </w:rPr>
              <w:instrText xml:space="preserve">  \* MERGEFORMAT </w:instrText>
            </w:r>
            <w:r>
              <w:rPr>
                <w:rFonts w:ascii="Times New Roman" w:hAnsi="Times New Roman" w:cs="宋体"/>
                <w:sz w:val="24"/>
              </w:rPr>
              <w:fldChar w:fldCharType="separate"/>
            </w:r>
            <w:r>
              <w:rPr>
                <w:rFonts w:ascii="Times New Roman" w:hAnsi="Times New Roman" w:cs="宋体"/>
                <w:sz w:val="24"/>
              </w:rPr>
              <w:t>表7-7</w:t>
            </w:r>
            <w:r>
              <w:rPr>
                <w:rFonts w:ascii="Times New Roman" w:hAnsi="Times New Roman" w:cs="宋体"/>
                <w:sz w:val="24"/>
              </w:rPr>
              <w:fldChar w:fldCharType="end"/>
            </w:r>
            <w:r>
              <w:rPr>
                <w:rFonts w:hint="eastAsia" w:ascii="Times New Roman" w:hAnsi="Times New Roman" w:cs="宋体"/>
                <w:sz w:val="24"/>
              </w:rPr>
              <w:t>所示。</w:t>
            </w:r>
          </w:p>
          <w:p>
            <w:pPr>
              <w:spacing w:line="360" w:lineRule="auto"/>
              <w:jc w:val="center"/>
              <w:rPr>
                <w:rFonts w:ascii="Times New Roman" w:hAnsi="Times New Roman" w:eastAsia="宋体" w:cs="Times New Roman"/>
                <w:b/>
                <w:bCs/>
              </w:rPr>
            </w:pPr>
            <w:bookmarkStart w:id="68" w:name="_Ref3470484"/>
            <w:r>
              <w:rPr>
                <w:rFonts w:ascii="Times New Roman" w:hAnsi="Times New Roman" w:eastAsia="宋体" w:cs="Times New Roman"/>
                <w:b/>
                <w:bCs/>
              </w:rPr>
              <w:t>表7-</w:t>
            </w:r>
            <w:r>
              <w:rPr>
                <w:rFonts w:ascii="Times New Roman" w:hAnsi="Times New Roman" w:eastAsia="宋体" w:cs="Times New Roman"/>
                <w:b/>
                <w:bCs/>
              </w:rPr>
              <w:fldChar w:fldCharType="begin"/>
            </w:r>
            <w:r>
              <w:rPr>
                <w:rFonts w:ascii="Times New Roman" w:hAnsi="Times New Roman" w:eastAsia="宋体" w:cs="Times New Roman"/>
                <w:b/>
                <w:bCs/>
              </w:rPr>
              <w:instrText xml:space="preserve"> SEQ 表7- \* ARABIC </w:instrText>
            </w:r>
            <w:r>
              <w:rPr>
                <w:rFonts w:ascii="Times New Roman" w:hAnsi="Times New Roman" w:eastAsia="宋体" w:cs="Times New Roman"/>
                <w:b/>
                <w:bCs/>
              </w:rPr>
              <w:fldChar w:fldCharType="separate"/>
            </w:r>
            <w:r>
              <w:rPr>
                <w:rFonts w:ascii="Times New Roman" w:hAnsi="Times New Roman" w:eastAsia="宋体" w:cs="Times New Roman"/>
                <w:b/>
                <w:bCs/>
              </w:rPr>
              <w:t>7</w:t>
            </w:r>
            <w:r>
              <w:rPr>
                <w:rFonts w:ascii="Times New Roman" w:hAnsi="Times New Roman" w:eastAsia="宋体" w:cs="Times New Roman"/>
                <w:b/>
                <w:bCs/>
              </w:rPr>
              <w:fldChar w:fldCharType="end"/>
            </w:r>
            <w:bookmarkEnd w:id="68"/>
            <w:r>
              <w:rPr>
                <w:rFonts w:hint="eastAsia" w:ascii="Times New Roman" w:hAnsi="Times New Roman" w:eastAsia="宋体" w:cs="Times New Roman"/>
                <w:b/>
                <w:bCs/>
              </w:rPr>
              <w:t xml:space="preserve">  污染源（</w:t>
            </w:r>
            <w:r>
              <w:rPr>
                <w:rFonts w:ascii="Times New Roman" w:hAnsi="Times New Roman" w:eastAsia="宋体" w:cs="Times New Roman"/>
                <w:b/>
                <w:bCs/>
              </w:rPr>
              <w:t>有组织</w:t>
            </w:r>
            <w:r>
              <w:rPr>
                <w:rFonts w:hint="eastAsia" w:ascii="Times New Roman" w:hAnsi="Times New Roman" w:eastAsia="宋体" w:cs="Times New Roman"/>
                <w:b/>
                <w:bCs/>
              </w:rPr>
              <w:t>排放</w:t>
            </w:r>
            <w:r>
              <w:rPr>
                <w:rFonts w:ascii="Times New Roman" w:hAnsi="Times New Roman" w:eastAsia="宋体" w:cs="Times New Roman"/>
                <w:b/>
                <w:bCs/>
              </w:rPr>
              <w:t>废气</w:t>
            </w:r>
            <w:r>
              <w:rPr>
                <w:rFonts w:hint="eastAsia" w:ascii="Times New Roman" w:hAnsi="Times New Roman" w:eastAsia="宋体" w:cs="Times New Roman"/>
                <w:b/>
                <w:bCs/>
              </w:rPr>
              <w:t>）估算模型计算</w:t>
            </w:r>
            <w:r>
              <w:rPr>
                <w:rFonts w:ascii="Times New Roman" w:hAnsi="Times New Roman" w:eastAsia="宋体" w:cs="Times New Roman"/>
                <w:b/>
                <w:bCs/>
              </w:rPr>
              <w:t>结果一览表</w:t>
            </w:r>
          </w:p>
          <w:p>
            <w:pPr>
              <w:wordWrap w:val="0"/>
              <w:jc w:val="right"/>
              <w:rPr>
                <w:rFonts w:ascii="Times New Roman" w:hAnsi="Times New Roman" w:eastAsia="黑体" w:cs="Times New Roman"/>
                <w:bCs/>
              </w:rPr>
            </w:pPr>
            <w:r>
              <w:rPr>
                <w:rFonts w:ascii="Times New Roman" w:hAnsi="Times New Roman" w:eastAsia="黑体" w:cs="Times New Roman"/>
                <w:bCs/>
              </w:rPr>
              <w:t>单位：浓度为mg/m</w:t>
            </w:r>
            <w:r>
              <w:rPr>
                <w:rFonts w:ascii="Times New Roman" w:hAnsi="Times New Roman" w:eastAsia="黑体" w:cs="Times New Roman"/>
                <w:bCs/>
                <w:vertAlign w:val="superscript"/>
              </w:rPr>
              <w:t>3</w:t>
            </w:r>
            <w:r>
              <w:rPr>
                <w:rFonts w:ascii="Times New Roman" w:hAnsi="Times New Roman" w:eastAsia="黑体" w:cs="Times New Roman"/>
                <w:bCs/>
              </w:rPr>
              <w:t>，占标率为%</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49"/>
              <w:gridCol w:w="2763"/>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restart"/>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549" w:type="dxa"/>
                  <w:vMerge w:val="restart"/>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距离源中心下风向距离（m）</w:t>
                  </w:r>
                </w:p>
              </w:tc>
              <w:tc>
                <w:tcPr>
                  <w:tcW w:w="5530" w:type="dxa"/>
                  <w:gridSpan w:val="2"/>
                  <w:vAlign w:val="center"/>
                </w:tcPr>
                <w:p>
                  <w:pPr>
                    <w:spacing w:line="240" w:lineRule="atLeast"/>
                    <w:jc w:val="center"/>
                    <w:rPr>
                      <w:rFonts w:ascii="Times New Roman" w:hAnsi="Times New Roman" w:eastAsia="宋体" w:cs="Times New Roman"/>
                      <w:b/>
                      <w:szCs w:val="21"/>
                    </w:rPr>
                  </w:pPr>
                  <w:r>
                    <w:rPr>
                      <w:rFonts w:hint="eastAsia" w:ascii="Times New Roman" w:hAnsi="Times New Roman" w:eastAsia="宋体" w:cs="Times New Roman"/>
                      <w:b/>
                      <w:szCs w:val="21"/>
                    </w:rPr>
                    <w:t>破碎和筛分粉尘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continue"/>
                  <w:vAlign w:val="center"/>
                </w:tcPr>
                <w:p>
                  <w:pPr>
                    <w:spacing w:line="240" w:lineRule="atLeast"/>
                    <w:jc w:val="center"/>
                    <w:rPr>
                      <w:rFonts w:ascii="Times New Roman" w:hAnsi="Times New Roman" w:eastAsia="宋体" w:cs="Times New Roman"/>
                      <w:b/>
                      <w:szCs w:val="21"/>
                    </w:rPr>
                  </w:pPr>
                </w:p>
              </w:tc>
              <w:tc>
                <w:tcPr>
                  <w:tcW w:w="2549" w:type="dxa"/>
                  <w:vMerge w:val="continue"/>
                  <w:vAlign w:val="center"/>
                </w:tcPr>
                <w:p>
                  <w:pPr>
                    <w:spacing w:line="240" w:lineRule="atLeast"/>
                    <w:jc w:val="center"/>
                    <w:rPr>
                      <w:rFonts w:ascii="Times New Roman" w:hAnsi="Times New Roman" w:eastAsia="宋体" w:cs="Times New Roman"/>
                      <w:b/>
                      <w:szCs w:val="21"/>
                    </w:rPr>
                  </w:pPr>
                </w:p>
              </w:tc>
              <w:tc>
                <w:tcPr>
                  <w:tcW w:w="5530" w:type="dxa"/>
                  <w:gridSpan w:val="2"/>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continue"/>
                  <w:vAlign w:val="center"/>
                </w:tcPr>
                <w:p>
                  <w:pPr>
                    <w:spacing w:line="240" w:lineRule="atLeast"/>
                    <w:jc w:val="center"/>
                    <w:rPr>
                      <w:rFonts w:ascii="Times New Roman" w:hAnsi="Times New Roman" w:eastAsia="宋体" w:cs="Times New Roman"/>
                      <w:b/>
                      <w:szCs w:val="21"/>
                    </w:rPr>
                  </w:pPr>
                </w:p>
              </w:tc>
              <w:tc>
                <w:tcPr>
                  <w:tcW w:w="2549" w:type="dxa"/>
                  <w:vMerge w:val="continue"/>
                  <w:vAlign w:val="center"/>
                </w:tcPr>
                <w:p>
                  <w:pPr>
                    <w:spacing w:line="240" w:lineRule="atLeast"/>
                    <w:jc w:val="center"/>
                    <w:rPr>
                      <w:rFonts w:ascii="Times New Roman" w:hAnsi="Times New Roman" w:eastAsia="宋体" w:cs="Times New Roman"/>
                      <w:b/>
                      <w:szCs w:val="21"/>
                    </w:rPr>
                  </w:pPr>
                </w:p>
              </w:tc>
              <w:tc>
                <w:tcPr>
                  <w:tcW w:w="2763" w:type="dxa"/>
                  <w:vAlign w:val="center"/>
                </w:tcPr>
                <w:p>
                  <w:pPr>
                    <w:spacing w:line="200" w:lineRule="atLeast"/>
                    <w:jc w:val="center"/>
                    <w:rPr>
                      <w:rFonts w:ascii="Times New Roman" w:hAnsi="Times New Roman" w:eastAsia="宋体" w:cs="Times New Roman"/>
                      <w:b/>
                      <w:szCs w:val="21"/>
                    </w:rPr>
                  </w:pPr>
                  <w:r>
                    <w:rPr>
                      <w:rFonts w:ascii="Times New Roman" w:hAnsi="Times New Roman" w:eastAsia="宋体" w:cs="Times New Roman"/>
                      <w:b/>
                      <w:szCs w:val="21"/>
                    </w:rPr>
                    <w:t>预测浓度</w:t>
                  </w:r>
                </w:p>
              </w:tc>
              <w:tc>
                <w:tcPr>
                  <w:tcW w:w="2767" w:type="dxa"/>
                  <w:vAlign w:val="center"/>
                </w:tcPr>
                <w:p>
                  <w:pPr>
                    <w:spacing w:line="200" w:lineRule="atLeast"/>
                    <w:jc w:val="center"/>
                    <w:rPr>
                      <w:rFonts w:ascii="Times New Roman" w:hAnsi="Times New Roman" w:eastAsia="宋体" w:cs="Times New Roman"/>
                      <w:b/>
                      <w:szCs w:val="21"/>
                    </w:rPr>
                  </w:pPr>
                  <w:r>
                    <w:rPr>
                      <w:rFonts w:ascii="Times New Roman" w:hAnsi="Times New Roman" w:eastAsia="宋体" w:cs="Times New Roman"/>
                      <w:b/>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276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0.0339</w:t>
                  </w:r>
                </w:p>
              </w:tc>
              <w:tc>
                <w:tcPr>
                  <w:tcW w:w="276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30</w:t>
                  </w:r>
                </w:p>
              </w:tc>
              <w:tc>
                <w:tcPr>
                  <w:tcW w:w="2763"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0.0437</w:t>
                  </w:r>
                </w:p>
              </w:tc>
              <w:tc>
                <w:tcPr>
                  <w:tcW w:w="2767"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0.0301</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0.0182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0.0107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0.0104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0.0091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0.0078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0.0068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0.0059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0.0053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0.0047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0.0042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0.0038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0.0034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0.0027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0.0019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3"/>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0.0014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0.16</w:t>
                  </w:r>
                </w:p>
              </w:tc>
            </w:tr>
          </w:tbl>
          <w:p>
            <w:pPr>
              <w:spacing w:line="360" w:lineRule="auto"/>
              <w:ind w:firstLine="482" w:firstLineChars="200"/>
              <w:rPr>
                <w:rFonts w:ascii="Times New Roman" w:hAnsi="Times New Roman" w:cs="宋体"/>
                <w:b/>
                <w:sz w:val="24"/>
              </w:rPr>
            </w:pPr>
          </w:p>
          <w:p>
            <w:pPr>
              <w:spacing w:line="360" w:lineRule="auto"/>
              <w:jc w:val="center"/>
              <w:rPr>
                <w:rFonts w:ascii="Times New Roman" w:hAnsi="Times New Roman" w:eastAsia="宋体" w:cs="Times New Roman"/>
                <w:b/>
                <w:bCs/>
              </w:rPr>
            </w:pPr>
            <w:r>
              <w:rPr>
                <w:rFonts w:ascii="Times New Roman" w:hAnsi="Times New Roman" w:eastAsia="宋体" w:cs="Times New Roman"/>
                <w:b/>
                <w:bCs/>
              </w:rPr>
              <w:t>表7-</w:t>
            </w:r>
            <w:r>
              <w:rPr>
                <w:rFonts w:ascii="Times New Roman" w:hAnsi="Times New Roman" w:eastAsia="宋体" w:cs="Times New Roman"/>
                <w:b/>
                <w:bCs/>
              </w:rPr>
              <w:fldChar w:fldCharType="begin"/>
            </w:r>
            <w:r>
              <w:rPr>
                <w:rFonts w:ascii="Times New Roman" w:hAnsi="Times New Roman" w:eastAsia="宋体" w:cs="Times New Roman"/>
                <w:b/>
                <w:bCs/>
              </w:rPr>
              <w:instrText xml:space="preserve"> SEQ 表7- \* ARABIC </w:instrText>
            </w:r>
            <w:r>
              <w:rPr>
                <w:rFonts w:ascii="Times New Roman" w:hAnsi="Times New Roman" w:eastAsia="宋体" w:cs="Times New Roman"/>
                <w:b/>
                <w:bCs/>
              </w:rPr>
              <w:fldChar w:fldCharType="separate"/>
            </w:r>
            <w:r>
              <w:rPr>
                <w:rFonts w:ascii="Times New Roman" w:hAnsi="Times New Roman" w:eastAsia="宋体" w:cs="Times New Roman"/>
                <w:b/>
                <w:bCs/>
              </w:rPr>
              <w:t>8</w:t>
            </w:r>
            <w:r>
              <w:rPr>
                <w:rFonts w:ascii="Times New Roman" w:hAnsi="Times New Roman" w:eastAsia="宋体" w:cs="Times New Roman"/>
                <w:b/>
                <w:bCs/>
              </w:rPr>
              <w:fldChar w:fldCharType="end"/>
            </w:r>
            <w:r>
              <w:rPr>
                <w:rFonts w:hint="eastAsia" w:ascii="Times New Roman" w:hAnsi="Times New Roman" w:eastAsia="宋体" w:cs="Times New Roman"/>
                <w:b/>
                <w:bCs/>
              </w:rPr>
              <w:t xml:space="preserve">  污染源（无</w:t>
            </w:r>
            <w:r>
              <w:rPr>
                <w:rFonts w:ascii="Times New Roman" w:hAnsi="Times New Roman" w:eastAsia="宋体" w:cs="Times New Roman"/>
                <w:b/>
                <w:bCs/>
              </w:rPr>
              <w:t>组织</w:t>
            </w:r>
            <w:r>
              <w:rPr>
                <w:rFonts w:hint="eastAsia" w:ascii="Times New Roman" w:hAnsi="Times New Roman" w:eastAsia="宋体" w:cs="Times New Roman"/>
                <w:b/>
                <w:bCs/>
              </w:rPr>
              <w:t>排放</w:t>
            </w:r>
            <w:r>
              <w:rPr>
                <w:rFonts w:ascii="Times New Roman" w:hAnsi="Times New Roman" w:eastAsia="宋体" w:cs="Times New Roman"/>
                <w:b/>
                <w:bCs/>
              </w:rPr>
              <w:t>废气</w:t>
            </w:r>
            <w:r>
              <w:rPr>
                <w:rFonts w:hint="eastAsia" w:ascii="Times New Roman" w:hAnsi="Times New Roman" w:eastAsia="宋体" w:cs="Times New Roman"/>
                <w:b/>
                <w:bCs/>
              </w:rPr>
              <w:t>）估算模型计算</w:t>
            </w:r>
            <w:r>
              <w:rPr>
                <w:rFonts w:ascii="Times New Roman" w:hAnsi="Times New Roman" w:eastAsia="宋体" w:cs="Times New Roman"/>
                <w:b/>
                <w:bCs/>
              </w:rPr>
              <w:t>结果一览表</w:t>
            </w:r>
          </w:p>
          <w:p>
            <w:pPr>
              <w:wordWrap w:val="0"/>
              <w:jc w:val="right"/>
              <w:rPr>
                <w:rFonts w:ascii="Times New Roman" w:hAnsi="Times New Roman" w:eastAsia="黑体" w:cs="Times New Roman"/>
                <w:bCs/>
              </w:rPr>
            </w:pPr>
            <w:r>
              <w:rPr>
                <w:rFonts w:ascii="Times New Roman" w:hAnsi="Times New Roman" w:eastAsia="黑体" w:cs="Times New Roman"/>
                <w:bCs/>
              </w:rPr>
              <w:t>单位：浓度为mg/m</w:t>
            </w:r>
            <w:r>
              <w:rPr>
                <w:rFonts w:ascii="Times New Roman" w:hAnsi="Times New Roman" w:eastAsia="黑体" w:cs="Times New Roman"/>
                <w:bCs/>
                <w:vertAlign w:val="superscript"/>
              </w:rPr>
              <w:t>3</w:t>
            </w:r>
            <w:r>
              <w:rPr>
                <w:rFonts w:ascii="Times New Roman" w:hAnsi="Times New Roman" w:eastAsia="黑体" w:cs="Times New Roman"/>
                <w:bCs/>
              </w:rPr>
              <w:t>，占标率为%</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49"/>
              <w:gridCol w:w="2763"/>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restart"/>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549" w:type="dxa"/>
                  <w:vMerge w:val="restart"/>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距离源中心下风向距离（m）</w:t>
                  </w:r>
                </w:p>
              </w:tc>
              <w:tc>
                <w:tcPr>
                  <w:tcW w:w="5530" w:type="dxa"/>
                  <w:gridSpan w:val="2"/>
                  <w:vAlign w:val="center"/>
                </w:tcPr>
                <w:p>
                  <w:pPr>
                    <w:spacing w:line="240" w:lineRule="atLeast"/>
                    <w:jc w:val="center"/>
                    <w:rPr>
                      <w:rFonts w:ascii="Times New Roman" w:hAnsi="Times New Roman" w:eastAsia="宋体" w:cs="Times New Roman"/>
                      <w:b/>
                      <w:szCs w:val="21"/>
                    </w:rPr>
                  </w:pPr>
                  <w:r>
                    <w:rPr>
                      <w:rFonts w:hint="eastAsia" w:ascii="Times New Roman" w:hAnsi="Times New Roman" w:eastAsia="宋体" w:cs="Times New Roman"/>
                      <w:b/>
                      <w:szCs w:val="21"/>
                    </w:rPr>
                    <w:t>厂区车间、堆场及道路等扬尘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continue"/>
                  <w:vAlign w:val="center"/>
                </w:tcPr>
                <w:p>
                  <w:pPr>
                    <w:spacing w:line="240" w:lineRule="atLeast"/>
                    <w:jc w:val="center"/>
                    <w:rPr>
                      <w:rFonts w:ascii="Times New Roman" w:hAnsi="Times New Roman" w:eastAsia="宋体" w:cs="Times New Roman"/>
                      <w:b/>
                      <w:szCs w:val="21"/>
                    </w:rPr>
                  </w:pPr>
                </w:p>
              </w:tc>
              <w:tc>
                <w:tcPr>
                  <w:tcW w:w="2549" w:type="dxa"/>
                  <w:vMerge w:val="continue"/>
                  <w:vAlign w:val="center"/>
                </w:tcPr>
                <w:p>
                  <w:pPr>
                    <w:spacing w:line="240" w:lineRule="atLeast"/>
                    <w:jc w:val="center"/>
                    <w:rPr>
                      <w:rFonts w:ascii="Times New Roman" w:hAnsi="Times New Roman" w:eastAsia="宋体" w:cs="Times New Roman"/>
                      <w:b/>
                      <w:szCs w:val="21"/>
                    </w:rPr>
                  </w:pPr>
                </w:p>
              </w:tc>
              <w:tc>
                <w:tcPr>
                  <w:tcW w:w="5530" w:type="dxa"/>
                  <w:gridSpan w:val="2"/>
                  <w:vAlign w:val="center"/>
                </w:tcPr>
                <w:p>
                  <w:pPr>
                    <w:spacing w:line="240" w:lineRule="atLeast"/>
                    <w:jc w:val="center"/>
                    <w:rPr>
                      <w:rFonts w:ascii="Times New Roman" w:hAnsi="Times New Roman" w:eastAsia="宋体" w:cs="Times New Roman"/>
                      <w:b/>
                      <w:szCs w:val="21"/>
                    </w:rPr>
                  </w:pPr>
                  <w:r>
                    <w:rPr>
                      <w:rFonts w:ascii="Times New Roman" w:hAnsi="Times New Roman" w:eastAsia="宋体" w:cs="Times New Roman"/>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7" w:type="dxa"/>
                  <w:vMerge w:val="continue"/>
                  <w:vAlign w:val="center"/>
                </w:tcPr>
                <w:p>
                  <w:pPr>
                    <w:spacing w:line="240" w:lineRule="atLeast"/>
                    <w:jc w:val="center"/>
                    <w:rPr>
                      <w:rFonts w:ascii="Times New Roman" w:hAnsi="Times New Roman" w:eastAsia="宋体" w:cs="Times New Roman"/>
                      <w:b/>
                      <w:szCs w:val="21"/>
                    </w:rPr>
                  </w:pPr>
                </w:p>
              </w:tc>
              <w:tc>
                <w:tcPr>
                  <w:tcW w:w="2549" w:type="dxa"/>
                  <w:vMerge w:val="continue"/>
                  <w:vAlign w:val="center"/>
                </w:tcPr>
                <w:p>
                  <w:pPr>
                    <w:spacing w:line="240" w:lineRule="atLeast"/>
                    <w:jc w:val="center"/>
                    <w:rPr>
                      <w:rFonts w:ascii="Times New Roman" w:hAnsi="Times New Roman" w:eastAsia="宋体" w:cs="Times New Roman"/>
                      <w:b/>
                      <w:szCs w:val="21"/>
                    </w:rPr>
                  </w:pPr>
                </w:p>
              </w:tc>
              <w:tc>
                <w:tcPr>
                  <w:tcW w:w="2763" w:type="dxa"/>
                  <w:vAlign w:val="center"/>
                </w:tcPr>
                <w:p>
                  <w:pPr>
                    <w:spacing w:line="200" w:lineRule="atLeast"/>
                    <w:jc w:val="center"/>
                    <w:rPr>
                      <w:rFonts w:ascii="Times New Roman" w:hAnsi="Times New Roman" w:eastAsia="宋体" w:cs="Times New Roman"/>
                      <w:b/>
                      <w:szCs w:val="21"/>
                    </w:rPr>
                  </w:pPr>
                  <w:r>
                    <w:rPr>
                      <w:rFonts w:ascii="Times New Roman" w:hAnsi="Times New Roman" w:eastAsia="宋体" w:cs="Times New Roman"/>
                      <w:b/>
                      <w:szCs w:val="21"/>
                    </w:rPr>
                    <w:t>预测浓度</w:t>
                  </w:r>
                </w:p>
              </w:tc>
              <w:tc>
                <w:tcPr>
                  <w:tcW w:w="2767" w:type="dxa"/>
                  <w:vAlign w:val="center"/>
                </w:tcPr>
                <w:p>
                  <w:pPr>
                    <w:spacing w:line="200" w:lineRule="atLeast"/>
                    <w:jc w:val="center"/>
                    <w:rPr>
                      <w:rFonts w:ascii="Times New Roman" w:hAnsi="Times New Roman" w:eastAsia="宋体" w:cs="Times New Roman"/>
                      <w:b/>
                      <w:szCs w:val="21"/>
                    </w:rPr>
                  </w:pPr>
                  <w:r>
                    <w:rPr>
                      <w:rFonts w:ascii="Times New Roman" w:hAnsi="Times New Roman" w:eastAsia="宋体" w:cs="Times New Roman"/>
                      <w:b/>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62</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0.0628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0.0654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85</w:t>
                  </w:r>
                </w:p>
              </w:tc>
              <w:tc>
                <w:tcPr>
                  <w:tcW w:w="2763"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 xml:space="preserve">0.0658 </w:t>
                  </w:r>
                </w:p>
              </w:tc>
              <w:tc>
                <w:tcPr>
                  <w:tcW w:w="2767"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0.0651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0.0504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0.0402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0.0335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0.0289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0.0254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0.0226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0.0202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0.0182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0.0165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0.0150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0.0138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0.0109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0.0079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7" w:type="dxa"/>
                  <w:vAlign w:val="center"/>
                </w:tcPr>
                <w:p>
                  <w:pPr>
                    <w:numPr>
                      <w:ilvl w:val="0"/>
                      <w:numId w:val="14"/>
                    </w:numPr>
                    <w:ind w:left="0" w:firstLine="0"/>
                    <w:jc w:val="center"/>
                    <w:rPr>
                      <w:rFonts w:ascii="Times New Roman" w:hAnsi="Times New Roman" w:eastAsia="宋体" w:cs="Times New Roman"/>
                      <w:szCs w:val="21"/>
                    </w:rPr>
                  </w:pPr>
                </w:p>
              </w:tc>
              <w:tc>
                <w:tcPr>
                  <w:tcW w:w="254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2500</w:t>
                  </w:r>
                </w:p>
              </w:tc>
              <w:tc>
                <w:tcPr>
                  <w:tcW w:w="276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0.0061 </w:t>
                  </w:r>
                </w:p>
              </w:tc>
              <w:tc>
                <w:tcPr>
                  <w:tcW w:w="276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0.68</w:t>
                  </w:r>
                </w:p>
              </w:tc>
            </w:tr>
          </w:tbl>
          <w:p>
            <w:pPr>
              <w:spacing w:line="360" w:lineRule="auto"/>
              <w:ind w:firstLine="482" w:firstLineChars="200"/>
              <w:rPr>
                <w:rFonts w:ascii="Times New Roman" w:hAnsi="Times New Roman" w:cs="宋体"/>
                <w:b/>
                <w:sz w:val="24"/>
              </w:rPr>
            </w:pPr>
          </w:p>
          <w:p>
            <w:pPr>
              <w:pStyle w:val="54"/>
              <w:rPr>
                <w:rFonts w:cs="宋体"/>
                <w:b/>
                <w:sz w:val="24"/>
              </w:rPr>
            </w:pPr>
            <w:r>
              <w:drawing>
                <wp:inline distT="0" distB="0" distL="0" distR="0">
                  <wp:extent cx="5476875" cy="3629025"/>
                  <wp:effectExtent l="19050" t="19050" r="28575"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486400" cy="3635336"/>
                          </a:xfrm>
                          <a:prstGeom prst="rect">
                            <a:avLst/>
                          </a:prstGeom>
                          <a:ln>
                            <a:solidFill>
                              <a:schemeClr val="tx1"/>
                            </a:solidFill>
                          </a:ln>
                        </pic:spPr>
                      </pic:pic>
                    </a:graphicData>
                  </a:graphic>
                </wp:inline>
              </w:drawing>
            </w:r>
          </w:p>
          <w:p>
            <w:pPr>
              <w:spacing w:after="156" w:afterLines="50" w:line="360" w:lineRule="auto"/>
              <w:jc w:val="center"/>
              <w:rPr>
                <w:rFonts w:ascii="Times New Roman" w:hAnsi="Times New Roman" w:cs="Times New Roman"/>
                <w:b/>
                <w:bCs/>
              </w:rPr>
            </w:pPr>
            <w:r>
              <w:rPr>
                <w:rFonts w:hint="eastAsia" w:ascii="Times New Roman" w:hAnsi="Times New Roman" w:cs="Times New Roman"/>
                <w:b/>
                <w:bCs/>
              </w:rPr>
              <w:t>图7-2</w:t>
            </w:r>
            <w:r>
              <w:rPr>
                <w:rFonts w:ascii="Times New Roman" w:hAnsi="Times New Roman" w:cs="Times New Roman"/>
                <w:b/>
                <w:bCs/>
              </w:rPr>
              <w:t xml:space="preserve">  </w:t>
            </w:r>
            <w:r>
              <w:rPr>
                <w:rFonts w:hint="eastAsia" w:ascii="Times New Roman" w:hAnsi="Times New Roman" w:cs="Times New Roman"/>
                <w:b/>
                <w:bCs/>
              </w:rPr>
              <w:t>污染物最大落地浓度计算结果截图</w:t>
            </w:r>
          </w:p>
          <w:p>
            <w:pPr>
              <w:pStyle w:val="54"/>
              <w:rPr>
                <w:rFonts w:cs="宋体"/>
                <w:b/>
                <w:sz w:val="24"/>
              </w:rPr>
            </w:pPr>
            <w:r>
              <w:drawing>
                <wp:inline distT="0" distB="0" distL="0" distR="0">
                  <wp:extent cx="5480685" cy="3886200"/>
                  <wp:effectExtent l="19050" t="19050" r="24765"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5486400" cy="3889912"/>
                          </a:xfrm>
                          <a:prstGeom prst="rect">
                            <a:avLst/>
                          </a:prstGeom>
                          <a:ln>
                            <a:solidFill>
                              <a:schemeClr val="tx1"/>
                            </a:solidFill>
                          </a:ln>
                        </pic:spPr>
                      </pic:pic>
                    </a:graphicData>
                  </a:graphic>
                </wp:inline>
              </w:drawing>
            </w:r>
          </w:p>
          <w:p>
            <w:pPr>
              <w:spacing w:after="156" w:afterLines="50" w:line="360" w:lineRule="auto"/>
              <w:jc w:val="center"/>
              <w:rPr>
                <w:rFonts w:ascii="Times New Roman" w:hAnsi="Times New Roman" w:cs="Times New Roman"/>
                <w:b/>
                <w:bCs/>
              </w:rPr>
            </w:pPr>
            <w:r>
              <w:rPr>
                <w:rFonts w:hint="eastAsia" w:ascii="Times New Roman" w:hAnsi="Times New Roman" w:cs="Times New Roman"/>
                <w:b/>
                <w:bCs/>
              </w:rPr>
              <w:t>图7-2</w:t>
            </w:r>
            <w:r>
              <w:rPr>
                <w:rFonts w:ascii="Times New Roman" w:hAnsi="Times New Roman" w:cs="Times New Roman"/>
                <w:b/>
                <w:bCs/>
              </w:rPr>
              <w:t xml:space="preserve">  </w:t>
            </w:r>
            <w:r>
              <w:rPr>
                <w:rFonts w:hint="eastAsia" w:ascii="Times New Roman" w:hAnsi="Times New Roman" w:cs="Times New Roman"/>
                <w:b/>
                <w:bCs/>
              </w:rPr>
              <w:t>污染物最大占标率及评价等级筛选结果截图</w:t>
            </w:r>
          </w:p>
          <w:p>
            <w:pPr>
              <w:spacing w:before="312" w:beforeLines="100" w:line="360" w:lineRule="auto"/>
              <w:ind w:firstLine="422" w:firstLineChars="200"/>
              <w:jc w:val="center"/>
              <w:rPr>
                <w:rFonts w:ascii="Times New Roman" w:hAnsi="Times New Roman" w:cs="宋体"/>
                <w:b/>
                <w:sz w:val="24"/>
              </w:rPr>
            </w:pPr>
            <w:bookmarkStart w:id="69" w:name="_Ref534728344"/>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9</w:t>
            </w:r>
            <w:r>
              <w:rPr>
                <w:rFonts w:ascii="Times New Roman" w:hAnsi="Times New Roman" w:cs="Times New Roman"/>
                <w:b/>
                <w:bCs/>
              </w:rPr>
              <w:fldChar w:fldCharType="end"/>
            </w:r>
            <w:bookmarkEnd w:id="69"/>
            <w:r>
              <w:rPr>
                <w:rFonts w:hint="eastAsia" w:ascii="Times New Roman" w:hAnsi="Times New Roman" w:cs="Times New Roman"/>
                <w:b/>
                <w:bCs/>
              </w:rPr>
              <w:t xml:space="preserve">   筛选计算结果统计表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1134"/>
              <w:gridCol w:w="992"/>
              <w:gridCol w:w="992"/>
              <w:gridCol w:w="992"/>
              <w:gridCol w:w="851"/>
              <w:gridCol w:w="780"/>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846" w:type="dxa"/>
                  <w:vAlign w:val="center"/>
                </w:tcPr>
                <w:p>
                  <w:pPr>
                    <w:pStyle w:val="46"/>
                    <w:rPr>
                      <w:b/>
                    </w:rPr>
                  </w:pPr>
                  <w:r>
                    <w:rPr>
                      <w:rFonts w:hint="eastAsia" w:eastAsia="宋体" w:cs="Times New Roman"/>
                      <w:b/>
                      <w:szCs w:val="21"/>
                    </w:rPr>
                    <w:t>类别</w:t>
                  </w:r>
                </w:p>
              </w:tc>
              <w:tc>
                <w:tcPr>
                  <w:tcW w:w="1276" w:type="dxa"/>
                  <w:vAlign w:val="center"/>
                </w:tcPr>
                <w:p>
                  <w:pPr>
                    <w:pStyle w:val="46"/>
                    <w:rPr>
                      <w:rFonts w:eastAsia="宋体" w:cs="Times New Roman"/>
                      <w:b/>
                      <w:szCs w:val="21"/>
                    </w:rPr>
                  </w:pPr>
                  <w:r>
                    <w:rPr>
                      <w:rFonts w:hint="eastAsia" w:eastAsia="宋体" w:cs="Times New Roman"/>
                      <w:b/>
                      <w:szCs w:val="21"/>
                    </w:rPr>
                    <w:t>排放源名称</w:t>
                  </w:r>
                </w:p>
              </w:tc>
              <w:tc>
                <w:tcPr>
                  <w:tcW w:w="1134" w:type="dxa"/>
                  <w:vAlign w:val="center"/>
                </w:tcPr>
                <w:p>
                  <w:pPr>
                    <w:pStyle w:val="46"/>
                    <w:rPr>
                      <w:rFonts w:eastAsia="宋体" w:cs="Times New Roman"/>
                      <w:b/>
                      <w:szCs w:val="21"/>
                    </w:rPr>
                  </w:pPr>
                  <w:r>
                    <w:rPr>
                      <w:rFonts w:hint="eastAsia" w:eastAsia="宋体" w:cs="Times New Roman"/>
                      <w:b/>
                      <w:szCs w:val="21"/>
                    </w:rPr>
                    <w:t>污染物</w:t>
                  </w:r>
                </w:p>
              </w:tc>
              <w:tc>
                <w:tcPr>
                  <w:tcW w:w="992" w:type="dxa"/>
                  <w:vAlign w:val="center"/>
                </w:tcPr>
                <w:p>
                  <w:pPr>
                    <w:pStyle w:val="46"/>
                    <w:rPr>
                      <w:rFonts w:eastAsia="宋体" w:cs="Times New Roman"/>
                      <w:b/>
                      <w:szCs w:val="21"/>
                    </w:rPr>
                  </w:pPr>
                  <w:r>
                    <w:rPr>
                      <w:rFonts w:hint="eastAsia" w:eastAsia="宋体" w:cs="Times New Roman"/>
                      <w:b/>
                      <w:szCs w:val="21"/>
                    </w:rPr>
                    <w:t>C</w:t>
                  </w:r>
                  <w:r>
                    <w:rPr>
                      <w:rFonts w:hint="eastAsia" w:eastAsia="宋体" w:cs="Times New Roman"/>
                      <w:b/>
                      <w:szCs w:val="21"/>
                      <w:vertAlign w:val="subscript"/>
                    </w:rPr>
                    <w:t>max</w:t>
                  </w:r>
                </w:p>
                <w:p>
                  <w:pPr>
                    <w:pStyle w:val="46"/>
                    <w:rPr>
                      <w:rFonts w:eastAsia="宋体" w:cs="Times New Roman"/>
                      <w:b/>
                      <w:szCs w:val="21"/>
                    </w:rPr>
                  </w:pPr>
                  <w:r>
                    <w:rPr>
                      <w:rFonts w:hint="eastAsia" w:eastAsia="宋体" w:cs="Times New Roman"/>
                      <w:b/>
                      <w:szCs w:val="21"/>
                    </w:rPr>
                    <w:t>(mg/m</w:t>
                  </w:r>
                  <w:r>
                    <w:rPr>
                      <w:rFonts w:hint="eastAsia" w:eastAsia="宋体" w:cs="Times New Roman"/>
                      <w:b/>
                      <w:szCs w:val="21"/>
                      <w:vertAlign w:val="superscript"/>
                    </w:rPr>
                    <w:t>3</w:t>
                  </w:r>
                  <w:r>
                    <w:rPr>
                      <w:rFonts w:hint="eastAsia" w:eastAsia="宋体" w:cs="Times New Roman"/>
                      <w:b/>
                      <w:szCs w:val="21"/>
                    </w:rPr>
                    <w:t>)</w:t>
                  </w:r>
                </w:p>
              </w:tc>
              <w:tc>
                <w:tcPr>
                  <w:tcW w:w="992" w:type="dxa"/>
                  <w:vAlign w:val="center"/>
                </w:tcPr>
                <w:p>
                  <w:pPr>
                    <w:pStyle w:val="46"/>
                    <w:rPr>
                      <w:rFonts w:eastAsia="宋体" w:cs="Times New Roman"/>
                      <w:b/>
                      <w:szCs w:val="21"/>
                    </w:rPr>
                  </w:pPr>
                  <w:r>
                    <w:rPr>
                      <w:rFonts w:hint="eastAsia" w:eastAsia="宋体" w:cs="Times New Roman"/>
                      <w:b/>
                      <w:szCs w:val="21"/>
                    </w:rPr>
                    <w:t>C</w:t>
                  </w:r>
                  <w:r>
                    <w:rPr>
                      <w:rFonts w:hint="eastAsia" w:eastAsia="宋体" w:cs="Times New Roman"/>
                      <w:b/>
                      <w:szCs w:val="21"/>
                      <w:vertAlign w:val="subscript"/>
                    </w:rPr>
                    <w:t>0</w:t>
                  </w:r>
                </w:p>
                <w:p>
                  <w:pPr>
                    <w:pStyle w:val="46"/>
                    <w:rPr>
                      <w:rFonts w:eastAsia="宋体" w:cs="Times New Roman"/>
                      <w:b/>
                      <w:szCs w:val="21"/>
                    </w:rPr>
                  </w:pPr>
                  <w:r>
                    <w:rPr>
                      <w:rFonts w:hint="eastAsia" w:eastAsia="宋体" w:cs="Times New Roman"/>
                      <w:b/>
                      <w:szCs w:val="21"/>
                    </w:rPr>
                    <w:t>(mg/m</w:t>
                  </w:r>
                  <w:r>
                    <w:rPr>
                      <w:rFonts w:hint="eastAsia" w:eastAsia="宋体" w:cs="Times New Roman"/>
                      <w:b/>
                      <w:szCs w:val="21"/>
                      <w:vertAlign w:val="superscript"/>
                    </w:rPr>
                    <w:t>3</w:t>
                  </w:r>
                  <w:r>
                    <w:rPr>
                      <w:rFonts w:hint="eastAsia" w:eastAsia="宋体" w:cs="Times New Roman"/>
                      <w:b/>
                      <w:szCs w:val="21"/>
                    </w:rPr>
                    <w:t>)</w:t>
                  </w:r>
                </w:p>
              </w:tc>
              <w:tc>
                <w:tcPr>
                  <w:tcW w:w="992" w:type="dxa"/>
                  <w:vAlign w:val="center"/>
                </w:tcPr>
                <w:p>
                  <w:pPr>
                    <w:pStyle w:val="46"/>
                    <w:rPr>
                      <w:rFonts w:eastAsia="宋体" w:cs="Times New Roman"/>
                      <w:b/>
                      <w:szCs w:val="21"/>
                    </w:rPr>
                  </w:pPr>
                  <w:r>
                    <w:rPr>
                      <w:rFonts w:hint="eastAsia" w:eastAsia="宋体" w:cs="Times New Roman"/>
                      <w:b/>
                      <w:szCs w:val="21"/>
                    </w:rPr>
                    <w:t>最大落地点距离(m)</w:t>
                  </w:r>
                </w:p>
              </w:tc>
              <w:tc>
                <w:tcPr>
                  <w:tcW w:w="851" w:type="dxa"/>
                  <w:vAlign w:val="center"/>
                </w:tcPr>
                <w:p>
                  <w:pPr>
                    <w:pStyle w:val="46"/>
                    <w:rPr>
                      <w:rFonts w:eastAsia="宋体" w:cs="Times New Roman"/>
                      <w:b/>
                      <w:szCs w:val="21"/>
                    </w:rPr>
                  </w:pPr>
                  <w:r>
                    <w:rPr>
                      <w:rFonts w:hint="eastAsia" w:eastAsia="宋体" w:cs="Times New Roman"/>
                      <w:b/>
                      <w:szCs w:val="21"/>
                    </w:rPr>
                    <w:t>P</w:t>
                  </w:r>
                  <w:r>
                    <w:rPr>
                      <w:rFonts w:hint="eastAsia" w:eastAsia="宋体" w:cs="Times New Roman"/>
                      <w:b/>
                      <w:szCs w:val="21"/>
                      <w:vertAlign w:val="subscript"/>
                    </w:rPr>
                    <w:t>max</w:t>
                  </w:r>
                </w:p>
                <w:p>
                  <w:pPr>
                    <w:pStyle w:val="46"/>
                    <w:rPr>
                      <w:rFonts w:eastAsia="宋体" w:cs="Times New Roman"/>
                      <w:b/>
                      <w:szCs w:val="21"/>
                    </w:rPr>
                  </w:pPr>
                  <w:r>
                    <w:rPr>
                      <w:rFonts w:hint="eastAsia" w:eastAsia="宋体" w:cs="Times New Roman"/>
                      <w:b/>
                      <w:szCs w:val="21"/>
                    </w:rPr>
                    <w:t>(%)</w:t>
                  </w:r>
                </w:p>
              </w:tc>
              <w:tc>
                <w:tcPr>
                  <w:tcW w:w="780" w:type="dxa"/>
                  <w:vAlign w:val="center"/>
                </w:tcPr>
                <w:p>
                  <w:pPr>
                    <w:pStyle w:val="46"/>
                    <w:rPr>
                      <w:rFonts w:eastAsia="宋体" w:cs="Times New Roman"/>
                      <w:b/>
                      <w:szCs w:val="21"/>
                    </w:rPr>
                  </w:pPr>
                  <w:r>
                    <w:rPr>
                      <w:rFonts w:hint="eastAsia" w:eastAsia="宋体" w:cs="Times New Roman"/>
                      <w:b/>
                      <w:szCs w:val="21"/>
                    </w:rPr>
                    <w:t>D</w:t>
                  </w:r>
                  <w:r>
                    <w:rPr>
                      <w:rFonts w:hint="eastAsia" w:eastAsia="宋体" w:cs="Times New Roman"/>
                      <w:b/>
                      <w:szCs w:val="21"/>
                      <w:vertAlign w:val="subscript"/>
                    </w:rPr>
                    <w:t>10%</w:t>
                  </w:r>
                  <w:r>
                    <w:rPr>
                      <w:rFonts w:hint="eastAsia" w:eastAsia="宋体" w:cs="Times New Roman"/>
                      <w:b/>
                      <w:szCs w:val="21"/>
                    </w:rPr>
                    <w:t>（m）</w:t>
                  </w:r>
                </w:p>
              </w:tc>
              <w:tc>
                <w:tcPr>
                  <w:tcW w:w="1063" w:type="dxa"/>
                  <w:vAlign w:val="center"/>
                </w:tcPr>
                <w:p>
                  <w:pPr>
                    <w:pStyle w:val="46"/>
                    <w:rPr>
                      <w:rFonts w:eastAsia="宋体" w:cs="Times New Roman"/>
                      <w:b/>
                      <w:szCs w:val="21"/>
                    </w:rPr>
                  </w:pPr>
                  <w:r>
                    <w:rPr>
                      <w:rFonts w:hint="eastAsia" w:eastAsia="宋体" w:cs="Times New Roman"/>
                      <w:b/>
                      <w:szCs w:val="21"/>
                    </w:rPr>
                    <w:t>判定评价等级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6" w:type="dxa"/>
                  <w:vAlign w:val="center"/>
                </w:tcPr>
                <w:p>
                  <w:pPr>
                    <w:pStyle w:val="46"/>
                    <w:rPr>
                      <w:rFonts w:cs="Times New Roman" w:eastAsiaTheme="minorEastAsia"/>
                    </w:rPr>
                  </w:pPr>
                  <w:r>
                    <w:rPr>
                      <w:rFonts w:hint="eastAsia" w:cs="Times New Roman" w:eastAsiaTheme="minorEastAsia"/>
                    </w:rPr>
                    <w:t>有组织排放</w:t>
                  </w:r>
                </w:p>
              </w:tc>
              <w:tc>
                <w:tcPr>
                  <w:tcW w:w="1276" w:type="dxa"/>
                  <w:vAlign w:val="center"/>
                </w:tcPr>
                <w:p>
                  <w:pPr>
                    <w:pStyle w:val="46"/>
                    <w:rPr>
                      <w:rFonts w:cs="Times New Roman" w:eastAsiaTheme="minorEastAsia"/>
                    </w:rPr>
                  </w:pPr>
                  <w:r>
                    <w:rPr>
                      <w:rFonts w:hint="eastAsia" w:cs="Times New Roman" w:eastAsiaTheme="minorEastAsia"/>
                    </w:rPr>
                    <w:t>破碎、筛分粉尘排气筒</w:t>
                  </w:r>
                </w:p>
              </w:tc>
              <w:tc>
                <w:tcPr>
                  <w:tcW w:w="1134" w:type="dxa"/>
                  <w:vAlign w:val="center"/>
                </w:tcPr>
                <w:p>
                  <w:pPr>
                    <w:pStyle w:val="46"/>
                    <w:rPr>
                      <w:rFonts w:cs="Times New Roman" w:eastAsiaTheme="minorEastAsia"/>
                    </w:rPr>
                  </w:pPr>
                  <w:r>
                    <w:rPr>
                      <w:rFonts w:hint="eastAsia" w:cs="Times New Roman" w:eastAsiaTheme="minorEastAsia"/>
                    </w:rPr>
                    <w:t>颗粒物</w:t>
                  </w:r>
                </w:p>
              </w:tc>
              <w:tc>
                <w:tcPr>
                  <w:tcW w:w="992" w:type="dxa"/>
                  <w:vAlign w:val="center"/>
                </w:tcPr>
                <w:p>
                  <w:pPr>
                    <w:pStyle w:val="46"/>
                    <w:rPr>
                      <w:rFonts w:cs="Times New Roman" w:eastAsiaTheme="minorEastAsia"/>
                    </w:rPr>
                  </w:pPr>
                  <w:r>
                    <w:rPr>
                      <w:rFonts w:hint="eastAsia" w:cs="Times New Roman" w:eastAsiaTheme="minorEastAsia"/>
                    </w:rPr>
                    <w:t>0.0437</w:t>
                  </w:r>
                </w:p>
              </w:tc>
              <w:tc>
                <w:tcPr>
                  <w:tcW w:w="992" w:type="dxa"/>
                  <w:vAlign w:val="center"/>
                </w:tcPr>
                <w:p>
                  <w:pPr>
                    <w:pStyle w:val="46"/>
                    <w:rPr>
                      <w:rFonts w:cs="Times New Roman" w:eastAsiaTheme="minorEastAsia"/>
                    </w:rPr>
                  </w:pPr>
                  <w:r>
                    <w:rPr>
                      <w:rFonts w:hint="eastAsia" w:cs="Times New Roman" w:eastAsiaTheme="minorEastAsia"/>
                    </w:rPr>
                    <w:t>0.9</w:t>
                  </w:r>
                </w:p>
              </w:tc>
              <w:tc>
                <w:tcPr>
                  <w:tcW w:w="992" w:type="dxa"/>
                  <w:vAlign w:val="center"/>
                </w:tcPr>
                <w:p>
                  <w:pPr>
                    <w:pStyle w:val="46"/>
                    <w:rPr>
                      <w:rFonts w:cs="Times New Roman" w:eastAsiaTheme="minorEastAsia"/>
                    </w:rPr>
                  </w:pPr>
                  <w:r>
                    <w:rPr>
                      <w:rFonts w:hint="eastAsia" w:cs="Times New Roman" w:eastAsiaTheme="minorEastAsia"/>
                    </w:rPr>
                    <w:t>30</w:t>
                  </w:r>
                </w:p>
              </w:tc>
              <w:tc>
                <w:tcPr>
                  <w:tcW w:w="851" w:type="dxa"/>
                  <w:vAlign w:val="center"/>
                </w:tcPr>
                <w:p>
                  <w:pPr>
                    <w:pStyle w:val="46"/>
                    <w:rPr>
                      <w:rFonts w:cs="Times New Roman" w:eastAsiaTheme="minorEastAsia"/>
                    </w:rPr>
                  </w:pPr>
                  <w:r>
                    <w:rPr>
                      <w:rFonts w:hint="eastAsia" w:cs="Times New Roman" w:eastAsiaTheme="minorEastAsia"/>
                    </w:rPr>
                    <w:t>4.86</w:t>
                  </w:r>
                </w:p>
              </w:tc>
              <w:tc>
                <w:tcPr>
                  <w:tcW w:w="780" w:type="dxa"/>
                  <w:vAlign w:val="center"/>
                </w:tcPr>
                <w:p>
                  <w:pPr>
                    <w:pStyle w:val="46"/>
                    <w:rPr>
                      <w:rFonts w:cs="Times New Roman" w:eastAsiaTheme="minorEastAsia"/>
                    </w:rPr>
                  </w:pPr>
                  <w:r>
                    <w:rPr>
                      <w:rFonts w:hint="eastAsia" w:cs="Times New Roman" w:eastAsiaTheme="minorEastAsia"/>
                    </w:rPr>
                    <w:t>/</w:t>
                  </w:r>
                </w:p>
              </w:tc>
              <w:tc>
                <w:tcPr>
                  <w:tcW w:w="1063" w:type="dxa"/>
                  <w:vAlign w:val="center"/>
                </w:tcPr>
                <w:p>
                  <w:pPr>
                    <w:pStyle w:val="46"/>
                    <w:rPr>
                      <w:rFonts w:cs="Times New Roman" w:eastAsiaTheme="minorEastAsia"/>
                    </w:rPr>
                  </w:pPr>
                  <w:r>
                    <w:rPr>
                      <w:rFonts w:hint="eastAsia" w:cs="Times New Roman" w:eastAsiaTheme="minorEastAsi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6" w:type="dxa"/>
                  <w:vAlign w:val="center"/>
                </w:tcPr>
                <w:p>
                  <w:pPr>
                    <w:pStyle w:val="46"/>
                    <w:rPr>
                      <w:rFonts w:cs="Times New Roman" w:eastAsiaTheme="minorEastAsia"/>
                    </w:rPr>
                  </w:pPr>
                  <w:r>
                    <w:rPr>
                      <w:rFonts w:hint="eastAsia" w:cs="Times New Roman" w:eastAsiaTheme="minorEastAsia"/>
                    </w:rPr>
                    <w:t>无组织排放</w:t>
                  </w:r>
                </w:p>
              </w:tc>
              <w:tc>
                <w:tcPr>
                  <w:tcW w:w="1276" w:type="dxa"/>
                  <w:vAlign w:val="center"/>
                </w:tcPr>
                <w:p>
                  <w:pPr>
                    <w:pStyle w:val="46"/>
                    <w:rPr>
                      <w:rFonts w:cs="Times New Roman" w:eastAsiaTheme="minorEastAsia"/>
                    </w:rPr>
                  </w:pPr>
                  <w:r>
                    <w:rPr>
                      <w:rFonts w:hint="eastAsia" w:cs="Times New Roman" w:eastAsiaTheme="minorEastAsia"/>
                    </w:rPr>
                    <w:t>生产厂区扬尘</w:t>
                  </w:r>
                </w:p>
              </w:tc>
              <w:tc>
                <w:tcPr>
                  <w:tcW w:w="1134" w:type="dxa"/>
                  <w:vAlign w:val="center"/>
                </w:tcPr>
                <w:p>
                  <w:pPr>
                    <w:pStyle w:val="46"/>
                    <w:rPr>
                      <w:rFonts w:cs="Times New Roman" w:eastAsiaTheme="minorEastAsia"/>
                    </w:rPr>
                  </w:pPr>
                  <w:r>
                    <w:rPr>
                      <w:rFonts w:hint="eastAsia" w:cs="Times New Roman" w:eastAsiaTheme="minorEastAsia"/>
                    </w:rPr>
                    <w:t>颗粒物</w:t>
                  </w:r>
                </w:p>
              </w:tc>
              <w:tc>
                <w:tcPr>
                  <w:tcW w:w="992" w:type="dxa"/>
                  <w:vAlign w:val="center"/>
                </w:tcPr>
                <w:p>
                  <w:pPr>
                    <w:pStyle w:val="46"/>
                    <w:rPr>
                      <w:rFonts w:cs="Times New Roman" w:eastAsiaTheme="minorEastAsia"/>
                    </w:rPr>
                  </w:pPr>
                  <w:r>
                    <w:rPr>
                      <w:rFonts w:hint="eastAsia" w:cs="Times New Roman" w:eastAsiaTheme="minorEastAsia"/>
                    </w:rPr>
                    <w:t>0.0658</w:t>
                  </w:r>
                </w:p>
              </w:tc>
              <w:tc>
                <w:tcPr>
                  <w:tcW w:w="992" w:type="dxa"/>
                  <w:vAlign w:val="center"/>
                </w:tcPr>
                <w:p>
                  <w:pPr>
                    <w:pStyle w:val="46"/>
                    <w:rPr>
                      <w:rFonts w:cs="Times New Roman" w:eastAsiaTheme="minorEastAsia"/>
                    </w:rPr>
                  </w:pPr>
                  <w:r>
                    <w:rPr>
                      <w:rFonts w:hint="eastAsia" w:cs="Times New Roman" w:eastAsiaTheme="minorEastAsia"/>
                    </w:rPr>
                    <w:t>0.9</w:t>
                  </w:r>
                </w:p>
              </w:tc>
              <w:tc>
                <w:tcPr>
                  <w:tcW w:w="992" w:type="dxa"/>
                  <w:vAlign w:val="center"/>
                </w:tcPr>
                <w:p>
                  <w:pPr>
                    <w:pStyle w:val="46"/>
                    <w:rPr>
                      <w:rFonts w:cs="Times New Roman" w:eastAsiaTheme="minorEastAsia"/>
                    </w:rPr>
                  </w:pPr>
                  <w:r>
                    <w:rPr>
                      <w:rFonts w:hint="eastAsia" w:cs="Times New Roman" w:eastAsiaTheme="minorEastAsia"/>
                    </w:rPr>
                    <w:t>85</w:t>
                  </w:r>
                </w:p>
              </w:tc>
              <w:tc>
                <w:tcPr>
                  <w:tcW w:w="851" w:type="dxa"/>
                  <w:vAlign w:val="center"/>
                </w:tcPr>
                <w:p>
                  <w:pPr>
                    <w:pStyle w:val="46"/>
                    <w:rPr>
                      <w:rFonts w:cs="Times New Roman" w:eastAsiaTheme="minorEastAsia"/>
                    </w:rPr>
                  </w:pPr>
                  <w:r>
                    <w:rPr>
                      <w:rFonts w:hint="eastAsia" w:cs="Times New Roman" w:eastAsiaTheme="minorEastAsia"/>
                    </w:rPr>
                    <w:t>7.31</w:t>
                  </w:r>
                </w:p>
              </w:tc>
              <w:tc>
                <w:tcPr>
                  <w:tcW w:w="780" w:type="dxa"/>
                  <w:vAlign w:val="center"/>
                </w:tcPr>
                <w:p>
                  <w:pPr>
                    <w:pStyle w:val="46"/>
                    <w:rPr>
                      <w:rFonts w:cs="Times New Roman" w:eastAsiaTheme="minorEastAsia"/>
                    </w:rPr>
                  </w:pPr>
                  <w:r>
                    <w:rPr>
                      <w:rFonts w:hint="eastAsia" w:cs="Times New Roman" w:eastAsiaTheme="minorEastAsia"/>
                    </w:rPr>
                    <w:t>/</w:t>
                  </w:r>
                </w:p>
              </w:tc>
              <w:tc>
                <w:tcPr>
                  <w:tcW w:w="1063" w:type="dxa"/>
                  <w:vAlign w:val="center"/>
                </w:tcPr>
                <w:p>
                  <w:pPr>
                    <w:pStyle w:val="46"/>
                    <w:rPr>
                      <w:rFonts w:cs="Times New Roman" w:eastAsiaTheme="minorEastAsia"/>
                    </w:rPr>
                  </w:pPr>
                  <w:r>
                    <w:rPr>
                      <w:rFonts w:hint="eastAsia" w:cs="Times New Roman" w:eastAsiaTheme="minorEastAsia"/>
                    </w:rPr>
                    <w:t>二级</w:t>
                  </w:r>
                </w:p>
              </w:tc>
            </w:tr>
          </w:tbl>
          <w:p>
            <w:pPr>
              <w:spacing w:line="360" w:lineRule="auto"/>
              <w:ind w:firstLine="480" w:firstLineChars="200"/>
              <w:rPr>
                <w:rFonts w:ascii="Times New Roman" w:hAnsi="Times New Roman" w:cs="宋体"/>
                <w:sz w:val="24"/>
              </w:rPr>
            </w:pPr>
            <w:r>
              <w:rPr>
                <w:rFonts w:hint="eastAsia" w:ascii="Times New Roman" w:hAnsi="Times New Roman" w:cs="宋体"/>
                <w:sz w:val="24"/>
              </w:rPr>
              <w:t>根据上表筛选结果，本项目环境环境影响评价等级定为二级。根据《环境影响评价技术导则 大气环境》（HJ2.2-2018）“8.1.2二级评价项目不进行进一步预测与评价，只对污染物排放量进行核算”。</w:t>
            </w:r>
          </w:p>
          <w:p>
            <w:pPr>
              <w:spacing w:line="360" w:lineRule="auto"/>
              <w:ind w:firstLine="482" w:firstLineChars="200"/>
              <w:rPr>
                <w:rFonts w:ascii="Times New Roman" w:hAnsi="Times New Roman" w:cs="宋体"/>
                <w:b/>
                <w:sz w:val="24"/>
              </w:rPr>
            </w:pPr>
            <w:r>
              <w:rPr>
                <w:rFonts w:hint="eastAsia" w:ascii="Times New Roman" w:hAnsi="Times New Roman" w:cs="宋体"/>
                <w:b/>
                <w:sz w:val="24"/>
              </w:rPr>
              <w:t>（3）污染物排放量核算</w:t>
            </w:r>
          </w:p>
          <w:p>
            <w:pPr>
              <w:spacing w:line="360" w:lineRule="auto"/>
              <w:ind w:firstLine="480" w:firstLineChars="200"/>
              <w:rPr>
                <w:rFonts w:ascii="Times New Roman" w:hAnsi="Times New Roman" w:cs="宋体"/>
                <w:sz w:val="24"/>
              </w:rPr>
            </w:pPr>
            <w:r>
              <w:rPr>
                <w:rFonts w:hint="eastAsia" w:ascii="Times New Roman" w:hAnsi="Times New Roman" w:cs="宋体"/>
                <w:sz w:val="24"/>
              </w:rPr>
              <w:t>根据前文工程分析，本项目污染物排放量核算结果如下。</w:t>
            </w:r>
          </w:p>
          <w:p>
            <w:pPr>
              <w:spacing w:line="360" w:lineRule="auto"/>
              <w:ind w:firstLine="480" w:firstLineChars="200"/>
              <w:rPr>
                <w:rFonts w:ascii="Times New Roman" w:hAnsi="Times New Roman" w:cs="宋体"/>
                <w:sz w:val="24"/>
              </w:rPr>
            </w:pPr>
            <w:r>
              <w:rPr>
                <w:rFonts w:hint="eastAsia" w:ascii="Times New Roman" w:hAnsi="Times New Roman" w:cs="宋体"/>
                <w:sz w:val="24"/>
              </w:rPr>
              <w:t>① 有组织排放量核算</w:t>
            </w:r>
          </w:p>
          <w:p>
            <w:pPr>
              <w:spacing w:line="360" w:lineRule="auto"/>
              <w:jc w:val="center"/>
              <w:rPr>
                <w:rFonts w:ascii="Times New Roman" w:hAnsi="Times New Roman" w:cs="Times New Roman"/>
                <w:b/>
                <w:bCs/>
              </w:rPr>
            </w:pPr>
            <w:bookmarkStart w:id="70" w:name="_Ref518998984"/>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10</w:t>
            </w:r>
            <w:r>
              <w:rPr>
                <w:rFonts w:ascii="Times New Roman" w:hAnsi="Times New Roman" w:cs="Times New Roman"/>
                <w:b/>
                <w:bCs/>
              </w:rPr>
              <w:fldChar w:fldCharType="end"/>
            </w:r>
            <w:bookmarkEnd w:id="70"/>
            <w:r>
              <w:rPr>
                <w:rFonts w:hint="eastAsia" w:ascii="Times New Roman" w:hAnsi="Times New Roman" w:cs="Times New Roman"/>
                <w:b/>
                <w:bCs/>
              </w:rPr>
              <w:t xml:space="preserve">   大气污染物有组织排放量核算表</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851"/>
              <w:gridCol w:w="1984"/>
              <w:gridCol w:w="1134"/>
              <w:gridCol w:w="1560"/>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8" w:hRule="atLeast"/>
              </w:trPr>
              <w:tc>
                <w:tcPr>
                  <w:tcW w:w="562" w:type="dxa"/>
                  <w:vAlign w:val="center"/>
                </w:tcPr>
                <w:p>
                  <w:pPr>
                    <w:pStyle w:val="52"/>
                    <w:snapToGrid w:val="0"/>
                    <w:spacing w:before="48"/>
                    <w:jc w:val="center"/>
                    <w:rPr>
                      <w:b/>
                      <w:sz w:val="21"/>
                      <w:szCs w:val="21"/>
                    </w:rPr>
                  </w:pPr>
                  <w:r>
                    <w:rPr>
                      <w:b/>
                      <w:sz w:val="21"/>
                      <w:szCs w:val="21"/>
                    </w:rPr>
                    <w:t>序号</w:t>
                  </w:r>
                </w:p>
              </w:tc>
              <w:tc>
                <w:tcPr>
                  <w:tcW w:w="851" w:type="dxa"/>
                  <w:vAlign w:val="center"/>
                </w:tcPr>
                <w:p>
                  <w:pPr>
                    <w:pStyle w:val="52"/>
                    <w:snapToGrid w:val="0"/>
                    <w:spacing w:before="1"/>
                    <w:jc w:val="center"/>
                    <w:rPr>
                      <w:b/>
                      <w:sz w:val="21"/>
                      <w:szCs w:val="21"/>
                    </w:rPr>
                  </w:pPr>
                  <w:r>
                    <w:rPr>
                      <w:rFonts w:hint="eastAsia"/>
                      <w:b/>
                      <w:sz w:val="21"/>
                      <w:szCs w:val="21"/>
                    </w:rPr>
                    <w:t>排放口类别</w:t>
                  </w:r>
                </w:p>
              </w:tc>
              <w:tc>
                <w:tcPr>
                  <w:tcW w:w="1984" w:type="dxa"/>
                  <w:vAlign w:val="center"/>
                </w:tcPr>
                <w:p>
                  <w:pPr>
                    <w:pStyle w:val="52"/>
                    <w:snapToGrid w:val="0"/>
                    <w:spacing w:before="1"/>
                    <w:jc w:val="center"/>
                    <w:rPr>
                      <w:b/>
                      <w:sz w:val="21"/>
                      <w:szCs w:val="21"/>
                    </w:rPr>
                  </w:pPr>
                  <w:r>
                    <w:rPr>
                      <w:rFonts w:hint="eastAsia"/>
                      <w:b/>
                      <w:sz w:val="21"/>
                      <w:szCs w:val="21"/>
                    </w:rPr>
                    <w:t>排放口编号及名称</w:t>
                  </w:r>
                </w:p>
              </w:tc>
              <w:tc>
                <w:tcPr>
                  <w:tcW w:w="1134" w:type="dxa"/>
                  <w:vAlign w:val="center"/>
                </w:tcPr>
                <w:p>
                  <w:pPr>
                    <w:pStyle w:val="52"/>
                    <w:snapToGrid w:val="0"/>
                    <w:spacing w:before="1"/>
                    <w:jc w:val="center"/>
                    <w:rPr>
                      <w:b/>
                      <w:sz w:val="21"/>
                      <w:szCs w:val="21"/>
                    </w:rPr>
                  </w:pPr>
                  <w:r>
                    <w:rPr>
                      <w:b/>
                      <w:sz w:val="21"/>
                      <w:szCs w:val="21"/>
                    </w:rPr>
                    <w:t>污染物</w:t>
                  </w:r>
                </w:p>
              </w:tc>
              <w:tc>
                <w:tcPr>
                  <w:tcW w:w="1560" w:type="dxa"/>
                  <w:vAlign w:val="center"/>
                </w:tcPr>
                <w:p>
                  <w:pPr>
                    <w:pStyle w:val="52"/>
                    <w:snapToGrid w:val="0"/>
                    <w:spacing w:before="33"/>
                    <w:jc w:val="center"/>
                    <w:rPr>
                      <w:b/>
                      <w:sz w:val="21"/>
                      <w:szCs w:val="21"/>
                    </w:rPr>
                  </w:pPr>
                  <w:r>
                    <w:rPr>
                      <w:b/>
                      <w:sz w:val="21"/>
                      <w:szCs w:val="21"/>
                    </w:rPr>
                    <w:t>核算排放浓度</w:t>
                  </w:r>
                  <w:r>
                    <w:rPr>
                      <w:rFonts w:eastAsia="Times New Roman"/>
                      <w:b/>
                      <w:sz w:val="21"/>
                      <w:szCs w:val="21"/>
                    </w:rPr>
                    <w:t>/</w:t>
                  </w:r>
                  <w:r>
                    <w:rPr>
                      <w:b/>
                      <w:sz w:val="21"/>
                      <w:szCs w:val="21"/>
                    </w:rPr>
                    <w:t>（m</w:t>
                  </w:r>
                  <w:r>
                    <w:rPr>
                      <w:rFonts w:eastAsia="Times New Roman"/>
                      <w:b/>
                      <w:sz w:val="21"/>
                      <w:szCs w:val="21"/>
                    </w:rPr>
                    <w:t>g/m</w:t>
                  </w:r>
                  <w:r>
                    <w:rPr>
                      <w:b/>
                      <w:sz w:val="21"/>
                      <w:szCs w:val="21"/>
                      <w:vertAlign w:val="superscript"/>
                    </w:rPr>
                    <w:t>3</w:t>
                  </w:r>
                  <w:r>
                    <w:rPr>
                      <w:b/>
                      <w:sz w:val="21"/>
                      <w:szCs w:val="21"/>
                    </w:rPr>
                    <w:t>）</w:t>
                  </w:r>
                </w:p>
              </w:tc>
              <w:tc>
                <w:tcPr>
                  <w:tcW w:w="1417" w:type="dxa"/>
                  <w:vAlign w:val="center"/>
                </w:tcPr>
                <w:p>
                  <w:pPr>
                    <w:pStyle w:val="52"/>
                    <w:snapToGrid w:val="0"/>
                    <w:spacing w:before="33"/>
                    <w:jc w:val="center"/>
                    <w:rPr>
                      <w:b/>
                      <w:sz w:val="21"/>
                      <w:szCs w:val="21"/>
                    </w:rPr>
                  </w:pPr>
                  <w:r>
                    <w:rPr>
                      <w:b/>
                      <w:sz w:val="21"/>
                      <w:szCs w:val="21"/>
                    </w:rPr>
                    <w:t>核算排放速率</w:t>
                  </w:r>
                  <w:r>
                    <w:rPr>
                      <w:rFonts w:eastAsia="Times New Roman"/>
                      <w:b/>
                      <w:sz w:val="21"/>
                      <w:szCs w:val="21"/>
                    </w:rPr>
                    <w:t>/</w:t>
                  </w:r>
                  <w:r>
                    <w:rPr>
                      <w:b/>
                      <w:sz w:val="21"/>
                      <w:szCs w:val="21"/>
                    </w:rPr>
                    <w:t>（</w:t>
                  </w:r>
                  <w:r>
                    <w:rPr>
                      <w:rFonts w:eastAsia="Times New Roman"/>
                      <w:b/>
                      <w:sz w:val="21"/>
                      <w:szCs w:val="21"/>
                    </w:rPr>
                    <w:t>kg/h</w:t>
                  </w:r>
                  <w:r>
                    <w:rPr>
                      <w:b/>
                      <w:sz w:val="21"/>
                      <w:szCs w:val="21"/>
                    </w:rPr>
                    <w:t>）</w:t>
                  </w:r>
                </w:p>
              </w:tc>
              <w:tc>
                <w:tcPr>
                  <w:tcW w:w="1559" w:type="dxa"/>
                  <w:vAlign w:val="center"/>
                </w:tcPr>
                <w:p>
                  <w:pPr>
                    <w:pStyle w:val="52"/>
                    <w:snapToGrid w:val="0"/>
                    <w:spacing w:before="33"/>
                    <w:jc w:val="center"/>
                    <w:rPr>
                      <w:b/>
                      <w:sz w:val="21"/>
                      <w:szCs w:val="21"/>
                    </w:rPr>
                  </w:pPr>
                  <w:r>
                    <w:rPr>
                      <w:b/>
                      <w:sz w:val="21"/>
                      <w:szCs w:val="21"/>
                    </w:rPr>
                    <w:t>核算年排放量</w:t>
                  </w:r>
                  <w:r>
                    <w:rPr>
                      <w:rFonts w:eastAsia="Times New Roman"/>
                      <w:b/>
                      <w:sz w:val="21"/>
                      <w:szCs w:val="21"/>
                    </w:rPr>
                    <w:t>/</w:t>
                  </w:r>
                  <w:r>
                    <w:rPr>
                      <w:b/>
                      <w:sz w:val="21"/>
                      <w:szCs w:val="21"/>
                    </w:rPr>
                    <w:t>（</w:t>
                  </w:r>
                  <w:r>
                    <w:rPr>
                      <w:rFonts w:eastAsia="Times New Roman"/>
                      <w:b/>
                      <w:sz w:val="21"/>
                      <w:szCs w:val="21"/>
                    </w:rPr>
                    <w:t>t/a</w:t>
                  </w:r>
                  <w:r>
                    <w:rPr>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5" w:hRule="atLeast"/>
              </w:trPr>
              <w:tc>
                <w:tcPr>
                  <w:tcW w:w="562" w:type="dxa"/>
                  <w:vAlign w:val="center"/>
                </w:tcPr>
                <w:p>
                  <w:pPr>
                    <w:pStyle w:val="52"/>
                    <w:snapToGrid w:val="0"/>
                    <w:jc w:val="center"/>
                    <w:rPr>
                      <w:sz w:val="21"/>
                      <w:szCs w:val="21"/>
                    </w:rPr>
                  </w:pPr>
                  <w:r>
                    <w:rPr>
                      <w:sz w:val="21"/>
                      <w:szCs w:val="21"/>
                    </w:rPr>
                    <w:t>1</w:t>
                  </w:r>
                </w:p>
              </w:tc>
              <w:tc>
                <w:tcPr>
                  <w:tcW w:w="851" w:type="dxa"/>
                  <w:vAlign w:val="center"/>
                </w:tcPr>
                <w:p>
                  <w:pPr>
                    <w:pStyle w:val="52"/>
                    <w:snapToGrid w:val="0"/>
                    <w:jc w:val="center"/>
                    <w:rPr>
                      <w:sz w:val="21"/>
                      <w:szCs w:val="21"/>
                    </w:rPr>
                  </w:pPr>
                  <w:r>
                    <w:rPr>
                      <w:rFonts w:hint="eastAsia"/>
                      <w:sz w:val="21"/>
                      <w:szCs w:val="21"/>
                    </w:rPr>
                    <w:t>主要排放口</w:t>
                  </w:r>
                </w:p>
              </w:tc>
              <w:tc>
                <w:tcPr>
                  <w:tcW w:w="1984" w:type="dxa"/>
                  <w:vAlign w:val="center"/>
                </w:tcPr>
                <w:p>
                  <w:pPr>
                    <w:pStyle w:val="4"/>
                    <w:spacing w:after="0" w:line="300" w:lineRule="auto"/>
                    <w:ind w:firstLine="0" w:firstLineChars="0"/>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 xml:space="preserve"> 破碎和筛分粉尘排气筒</w:t>
                  </w:r>
                </w:p>
              </w:tc>
              <w:tc>
                <w:tcPr>
                  <w:tcW w:w="1134" w:type="dxa"/>
                  <w:vAlign w:val="center"/>
                </w:tcPr>
                <w:p>
                  <w:pPr>
                    <w:adjustRightInd w:val="0"/>
                    <w:snapToGrid w:val="0"/>
                    <w:jc w:val="center"/>
                    <w:rPr>
                      <w:rFonts w:ascii="Times New Roman" w:hAnsi="Times New Roman" w:eastAsia="宋体" w:cs="Times New Roman"/>
                      <w:szCs w:val="21"/>
                      <w:vertAlign w:val="subscript"/>
                    </w:rPr>
                  </w:pPr>
                  <w:r>
                    <w:rPr>
                      <w:rFonts w:hint="eastAsia" w:ascii="Times New Roman" w:hAnsi="Times New Roman" w:cs="Times New Roman"/>
                      <w:szCs w:val="21"/>
                    </w:rPr>
                    <w:t>颗粒物</w:t>
                  </w:r>
                </w:p>
              </w:tc>
              <w:tc>
                <w:tcPr>
                  <w:tcW w:w="1560" w:type="dxa"/>
                  <w:vAlign w:val="center"/>
                </w:tcPr>
                <w:p>
                  <w:pPr>
                    <w:pStyle w:val="52"/>
                    <w:snapToGrid w:val="0"/>
                    <w:jc w:val="center"/>
                    <w:rPr>
                      <w:sz w:val="21"/>
                      <w:szCs w:val="21"/>
                    </w:rPr>
                  </w:pPr>
                  <w:r>
                    <w:rPr>
                      <w:rFonts w:hint="eastAsia"/>
                      <w:sz w:val="21"/>
                      <w:szCs w:val="21"/>
                    </w:rPr>
                    <w:t>25</w:t>
                  </w:r>
                </w:p>
              </w:tc>
              <w:tc>
                <w:tcPr>
                  <w:tcW w:w="1417" w:type="dxa"/>
                  <w:vAlign w:val="center"/>
                </w:tcPr>
                <w:p>
                  <w:pPr>
                    <w:pStyle w:val="52"/>
                    <w:snapToGrid w:val="0"/>
                    <w:jc w:val="center"/>
                    <w:rPr>
                      <w:sz w:val="21"/>
                      <w:szCs w:val="21"/>
                    </w:rPr>
                  </w:pPr>
                  <w:r>
                    <w:rPr>
                      <w:rFonts w:hint="eastAsia"/>
                      <w:sz w:val="21"/>
                      <w:szCs w:val="21"/>
                    </w:rPr>
                    <w:t>0.125</w:t>
                  </w:r>
                </w:p>
              </w:tc>
              <w:tc>
                <w:tcPr>
                  <w:tcW w:w="1559" w:type="dxa"/>
                  <w:vAlign w:val="center"/>
                </w:tcPr>
                <w:p>
                  <w:pPr>
                    <w:pStyle w:val="52"/>
                    <w:snapToGrid w:val="0"/>
                    <w:jc w:val="center"/>
                    <w:rPr>
                      <w:sz w:val="21"/>
                      <w:szCs w:val="21"/>
                    </w:rPr>
                  </w:pPr>
                  <w:r>
                    <w:rPr>
                      <w:rFonts w:hint="eastAsia"/>
                      <w:sz w:val="21"/>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7" w:hRule="atLeast"/>
              </w:trPr>
              <w:tc>
                <w:tcPr>
                  <w:tcW w:w="3397" w:type="dxa"/>
                  <w:gridSpan w:val="3"/>
                  <w:vAlign w:val="center"/>
                </w:tcPr>
                <w:p>
                  <w:pPr>
                    <w:pStyle w:val="52"/>
                    <w:snapToGrid w:val="0"/>
                    <w:jc w:val="center"/>
                    <w:rPr>
                      <w:sz w:val="21"/>
                      <w:szCs w:val="21"/>
                    </w:rPr>
                  </w:pPr>
                  <w:r>
                    <w:rPr>
                      <w:sz w:val="21"/>
                      <w:szCs w:val="21"/>
                    </w:rPr>
                    <w:t>有组织排放总计</w:t>
                  </w:r>
                </w:p>
              </w:tc>
              <w:tc>
                <w:tcPr>
                  <w:tcW w:w="4111" w:type="dxa"/>
                  <w:gridSpan w:val="3"/>
                  <w:vAlign w:val="center"/>
                </w:tcPr>
                <w:p>
                  <w:pPr>
                    <w:pStyle w:val="52"/>
                    <w:snapToGrid w:val="0"/>
                    <w:jc w:val="center"/>
                    <w:rPr>
                      <w:sz w:val="21"/>
                      <w:szCs w:val="21"/>
                    </w:rPr>
                  </w:pPr>
                  <w:r>
                    <w:rPr>
                      <w:sz w:val="21"/>
                      <w:szCs w:val="21"/>
                    </w:rPr>
                    <w:t>颗粒物</w:t>
                  </w:r>
                </w:p>
              </w:tc>
              <w:tc>
                <w:tcPr>
                  <w:tcW w:w="1559" w:type="dxa"/>
                  <w:vAlign w:val="center"/>
                </w:tcPr>
                <w:p>
                  <w:pPr>
                    <w:pStyle w:val="52"/>
                    <w:snapToGrid w:val="0"/>
                    <w:jc w:val="center"/>
                    <w:rPr>
                      <w:sz w:val="21"/>
                      <w:szCs w:val="21"/>
                    </w:rPr>
                  </w:pPr>
                  <w:r>
                    <w:rPr>
                      <w:rFonts w:hint="eastAsia"/>
                      <w:sz w:val="21"/>
                      <w:szCs w:val="21"/>
                    </w:rPr>
                    <w:t>0.300</w:t>
                  </w:r>
                </w:p>
              </w:tc>
            </w:tr>
          </w:tbl>
          <w:p>
            <w:pPr>
              <w:spacing w:before="312" w:beforeLines="100" w:line="360" w:lineRule="auto"/>
              <w:ind w:firstLine="480" w:firstLineChars="200"/>
              <w:rPr>
                <w:rFonts w:ascii="Times New Roman" w:hAnsi="Times New Roman" w:cs="宋体"/>
                <w:sz w:val="24"/>
              </w:rPr>
            </w:pPr>
            <w:r>
              <w:rPr>
                <w:rFonts w:hint="eastAsia" w:ascii="Times New Roman" w:hAnsi="Times New Roman" w:cs="宋体"/>
                <w:sz w:val="24"/>
              </w:rPr>
              <w:t>②无组织排放量核算</w:t>
            </w:r>
          </w:p>
          <w:p>
            <w:pPr>
              <w:spacing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11</w:t>
            </w:r>
            <w:r>
              <w:rPr>
                <w:rFonts w:ascii="Times New Roman" w:hAnsi="Times New Roman" w:cs="Times New Roman"/>
                <w:b/>
                <w:bCs/>
              </w:rPr>
              <w:fldChar w:fldCharType="end"/>
            </w:r>
            <w:r>
              <w:rPr>
                <w:rFonts w:hint="eastAsia" w:ascii="Times New Roman" w:hAnsi="Times New Roman" w:cs="Times New Roman"/>
                <w:b/>
                <w:bCs/>
              </w:rPr>
              <w:t xml:space="preserve">   大气污染物无组织排放量核算表</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3"/>
              <w:gridCol w:w="1112"/>
              <w:gridCol w:w="850"/>
              <w:gridCol w:w="2977"/>
              <w:gridCol w:w="1701"/>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43" w:type="dxa"/>
                  <w:vMerge w:val="restart"/>
                  <w:vAlign w:val="center"/>
                </w:tcPr>
                <w:p>
                  <w:pPr>
                    <w:pStyle w:val="52"/>
                    <w:jc w:val="center"/>
                    <w:rPr>
                      <w:b/>
                      <w:sz w:val="21"/>
                      <w:szCs w:val="21"/>
                    </w:rPr>
                  </w:pPr>
                  <w:r>
                    <w:rPr>
                      <w:b/>
                      <w:sz w:val="21"/>
                      <w:szCs w:val="21"/>
                    </w:rPr>
                    <w:t>序号</w:t>
                  </w:r>
                </w:p>
              </w:tc>
              <w:tc>
                <w:tcPr>
                  <w:tcW w:w="1112" w:type="dxa"/>
                  <w:vMerge w:val="restart"/>
                  <w:vAlign w:val="center"/>
                </w:tcPr>
                <w:p>
                  <w:pPr>
                    <w:pStyle w:val="52"/>
                    <w:jc w:val="center"/>
                    <w:rPr>
                      <w:b/>
                      <w:sz w:val="21"/>
                      <w:szCs w:val="21"/>
                    </w:rPr>
                  </w:pPr>
                  <w:r>
                    <w:rPr>
                      <w:b/>
                      <w:sz w:val="21"/>
                      <w:szCs w:val="21"/>
                    </w:rPr>
                    <w:t>产污环节</w:t>
                  </w:r>
                </w:p>
              </w:tc>
              <w:tc>
                <w:tcPr>
                  <w:tcW w:w="850" w:type="dxa"/>
                  <w:vMerge w:val="restart"/>
                  <w:vAlign w:val="center"/>
                </w:tcPr>
                <w:p>
                  <w:pPr>
                    <w:pStyle w:val="52"/>
                    <w:jc w:val="center"/>
                    <w:rPr>
                      <w:b/>
                      <w:sz w:val="21"/>
                      <w:szCs w:val="21"/>
                    </w:rPr>
                  </w:pPr>
                  <w:r>
                    <w:rPr>
                      <w:b/>
                      <w:sz w:val="21"/>
                      <w:szCs w:val="21"/>
                    </w:rPr>
                    <w:t>污染物</w:t>
                  </w:r>
                </w:p>
              </w:tc>
              <w:tc>
                <w:tcPr>
                  <w:tcW w:w="2977" w:type="dxa"/>
                  <w:vMerge w:val="restart"/>
                  <w:vAlign w:val="center"/>
                </w:tcPr>
                <w:p>
                  <w:pPr>
                    <w:pStyle w:val="52"/>
                    <w:jc w:val="center"/>
                    <w:rPr>
                      <w:b/>
                      <w:sz w:val="21"/>
                      <w:szCs w:val="21"/>
                    </w:rPr>
                  </w:pPr>
                  <w:r>
                    <w:rPr>
                      <w:b/>
                      <w:sz w:val="21"/>
                      <w:szCs w:val="21"/>
                    </w:rPr>
                    <w:t>主要污染防治措施</w:t>
                  </w:r>
                </w:p>
              </w:tc>
              <w:tc>
                <w:tcPr>
                  <w:tcW w:w="2835" w:type="dxa"/>
                  <w:gridSpan w:val="2"/>
                  <w:vAlign w:val="center"/>
                </w:tcPr>
                <w:p>
                  <w:pPr>
                    <w:pStyle w:val="52"/>
                    <w:jc w:val="center"/>
                    <w:rPr>
                      <w:b/>
                      <w:sz w:val="21"/>
                      <w:szCs w:val="21"/>
                    </w:rPr>
                  </w:pPr>
                  <w:r>
                    <w:rPr>
                      <w:b/>
                      <w:sz w:val="21"/>
                      <w:szCs w:val="21"/>
                    </w:rPr>
                    <w:t>国家或地方污染物排放标准</w:t>
                  </w:r>
                </w:p>
              </w:tc>
              <w:tc>
                <w:tcPr>
                  <w:tcW w:w="850" w:type="dxa"/>
                  <w:vMerge w:val="restart"/>
                  <w:vAlign w:val="center"/>
                </w:tcPr>
                <w:p>
                  <w:pPr>
                    <w:pStyle w:val="52"/>
                    <w:spacing w:before="1"/>
                    <w:jc w:val="center"/>
                    <w:rPr>
                      <w:b/>
                      <w:sz w:val="21"/>
                      <w:szCs w:val="21"/>
                    </w:rPr>
                  </w:pPr>
                  <w:r>
                    <w:rPr>
                      <w:b/>
                      <w:sz w:val="21"/>
                      <w:szCs w:val="21"/>
                    </w:rPr>
                    <w:t>年排放量（</w:t>
                  </w:r>
                  <w:r>
                    <w:rPr>
                      <w:rFonts w:eastAsia="Times New Roman"/>
                      <w:b/>
                      <w:sz w:val="21"/>
                      <w:szCs w:val="21"/>
                    </w:rPr>
                    <w:t>t/a</w:t>
                  </w:r>
                  <w:r>
                    <w:rPr>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43" w:type="dxa"/>
                  <w:vMerge w:val="continue"/>
                  <w:vAlign w:val="center"/>
                </w:tcPr>
                <w:p>
                  <w:pPr>
                    <w:jc w:val="center"/>
                    <w:rPr>
                      <w:rFonts w:ascii="宋体" w:hAnsi="宋体" w:eastAsia="宋体" w:cs="宋体"/>
                      <w:b/>
                      <w:spacing w:val="-6"/>
                      <w:szCs w:val="21"/>
                      <w:lang w:val="zh-CN" w:bidi="zh-CN"/>
                    </w:rPr>
                  </w:pPr>
                </w:p>
              </w:tc>
              <w:tc>
                <w:tcPr>
                  <w:tcW w:w="1112" w:type="dxa"/>
                  <w:vMerge w:val="continue"/>
                  <w:vAlign w:val="center"/>
                </w:tcPr>
                <w:p>
                  <w:pPr>
                    <w:jc w:val="center"/>
                    <w:rPr>
                      <w:rFonts w:ascii="宋体" w:hAnsi="宋体" w:eastAsia="宋体" w:cs="宋体"/>
                      <w:b/>
                      <w:spacing w:val="-6"/>
                      <w:szCs w:val="21"/>
                      <w:lang w:val="zh-CN" w:bidi="zh-CN"/>
                    </w:rPr>
                  </w:pPr>
                </w:p>
              </w:tc>
              <w:tc>
                <w:tcPr>
                  <w:tcW w:w="850" w:type="dxa"/>
                  <w:vMerge w:val="continue"/>
                  <w:vAlign w:val="center"/>
                </w:tcPr>
                <w:p>
                  <w:pPr>
                    <w:jc w:val="center"/>
                    <w:rPr>
                      <w:rFonts w:ascii="宋体" w:hAnsi="宋体" w:eastAsia="宋体" w:cs="宋体"/>
                      <w:b/>
                      <w:spacing w:val="-6"/>
                      <w:szCs w:val="21"/>
                      <w:lang w:val="zh-CN" w:bidi="zh-CN"/>
                    </w:rPr>
                  </w:pPr>
                </w:p>
              </w:tc>
              <w:tc>
                <w:tcPr>
                  <w:tcW w:w="2977" w:type="dxa"/>
                  <w:vMerge w:val="continue"/>
                  <w:vAlign w:val="center"/>
                </w:tcPr>
                <w:p>
                  <w:pPr>
                    <w:jc w:val="center"/>
                    <w:rPr>
                      <w:rFonts w:ascii="宋体" w:hAnsi="宋体" w:eastAsia="宋体" w:cs="宋体"/>
                      <w:b/>
                      <w:spacing w:val="-6"/>
                      <w:szCs w:val="21"/>
                      <w:lang w:val="zh-CN" w:bidi="zh-CN"/>
                    </w:rPr>
                  </w:pPr>
                </w:p>
              </w:tc>
              <w:tc>
                <w:tcPr>
                  <w:tcW w:w="1701" w:type="dxa"/>
                  <w:vAlign w:val="center"/>
                </w:tcPr>
                <w:p>
                  <w:pPr>
                    <w:pStyle w:val="52"/>
                    <w:jc w:val="center"/>
                    <w:rPr>
                      <w:b/>
                      <w:spacing w:val="-6"/>
                      <w:sz w:val="21"/>
                      <w:szCs w:val="21"/>
                    </w:rPr>
                  </w:pPr>
                  <w:r>
                    <w:rPr>
                      <w:b/>
                      <w:spacing w:val="-6"/>
                      <w:sz w:val="21"/>
                      <w:szCs w:val="21"/>
                    </w:rPr>
                    <w:t>标准名称</w:t>
                  </w:r>
                </w:p>
              </w:tc>
              <w:tc>
                <w:tcPr>
                  <w:tcW w:w="1134" w:type="dxa"/>
                  <w:vAlign w:val="center"/>
                </w:tcPr>
                <w:p>
                  <w:pPr>
                    <w:pStyle w:val="52"/>
                    <w:spacing w:before="33"/>
                    <w:jc w:val="center"/>
                    <w:rPr>
                      <w:b/>
                      <w:sz w:val="21"/>
                      <w:szCs w:val="21"/>
                    </w:rPr>
                  </w:pPr>
                  <w:r>
                    <w:rPr>
                      <w:b/>
                      <w:sz w:val="21"/>
                      <w:szCs w:val="21"/>
                    </w:rPr>
                    <w:t>浓度限值</w:t>
                  </w:r>
                  <w:r>
                    <w:rPr>
                      <w:rFonts w:eastAsia="Times New Roman"/>
                      <w:b/>
                      <w:sz w:val="21"/>
                      <w:szCs w:val="21"/>
                    </w:rPr>
                    <w:t>/</w:t>
                  </w:r>
                  <w:r>
                    <w:rPr>
                      <w:b/>
                      <w:sz w:val="21"/>
                      <w:szCs w:val="21"/>
                    </w:rPr>
                    <w:t>（</w:t>
                  </w:r>
                  <w:r>
                    <w:rPr>
                      <w:rFonts w:hint="eastAsia" w:eastAsiaTheme="minorEastAsia"/>
                      <w:b/>
                      <w:sz w:val="21"/>
                      <w:szCs w:val="21"/>
                    </w:rPr>
                    <w:t>m</w:t>
                  </w:r>
                  <w:r>
                    <w:rPr>
                      <w:rFonts w:eastAsia="Times New Roman"/>
                      <w:b/>
                      <w:sz w:val="21"/>
                      <w:szCs w:val="21"/>
                    </w:rPr>
                    <w:t>g/m</w:t>
                  </w:r>
                  <w:r>
                    <w:rPr>
                      <w:rFonts w:hint="eastAsia"/>
                      <w:b/>
                      <w:sz w:val="21"/>
                      <w:szCs w:val="21"/>
                      <w:vertAlign w:val="superscript"/>
                    </w:rPr>
                    <w:t>3</w:t>
                  </w:r>
                  <w:r>
                    <w:rPr>
                      <w:b/>
                      <w:sz w:val="21"/>
                      <w:szCs w:val="21"/>
                    </w:rPr>
                    <w:t>）</w:t>
                  </w: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43" w:type="dxa"/>
                  <w:vAlign w:val="center"/>
                </w:tcPr>
                <w:p>
                  <w:pPr>
                    <w:pStyle w:val="52"/>
                    <w:jc w:val="center"/>
                    <w:rPr>
                      <w:sz w:val="21"/>
                      <w:szCs w:val="21"/>
                    </w:rPr>
                  </w:pPr>
                  <w:r>
                    <w:rPr>
                      <w:rFonts w:hint="eastAsia"/>
                      <w:sz w:val="21"/>
                      <w:szCs w:val="21"/>
                    </w:rPr>
                    <w:t>1</w:t>
                  </w:r>
                </w:p>
              </w:tc>
              <w:tc>
                <w:tcPr>
                  <w:tcW w:w="1112" w:type="dxa"/>
                  <w:vAlign w:val="center"/>
                </w:tcPr>
                <w:p>
                  <w:pPr>
                    <w:pStyle w:val="52"/>
                    <w:jc w:val="center"/>
                    <w:rPr>
                      <w:sz w:val="21"/>
                      <w:szCs w:val="21"/>
                    </w:rPr>
                  </w:pPr>
                  <w:r>
                    <w:rPr>
                      <w:rFonts w:hint="eastAsia"/>
                      <w:sz w:val="21"/>
                      <w:szCs w:val="21"/>
                    </w:rPr>
                    <w:t>石材加工、砂石投料、落料、装卸、运输、堆场</w:t>
                  </w:r>
                </w:p>
              </w:tc>
              <w:tc>
                <w:tcPr>
                  <w:tcW w:w="850" w:type="dxa"/>
                  <w:vAlign w:val="center"/>
                </w:tcPr>
                <w:p>
                  <w:pPr>
                    <w:pStyle w:val="52"/>
                    <w:jc w:val="center"/>
                    <w:rPr>
                      <w:sz w:val="21"/>
                      <w:szCs w:val="21"/>
                    </w:rPr>
                  </w:pPr>
                  <w:r>
                    <w:rPr>
                      <w:rFonts w:hint="eastAsia"/>
                      <w:sz w:val="21"/>
                      <w:szCs w:val="21"/>
                    </w:rPr>
                    <w:t>颗粒物</w:t>
                  </w:r>
                </w:p>
              </w:tc>
              <w:tc>
                <w:tcPr>
                  <w:tcW w:w="2977" w:type="dxa"/>
                  <w:vAlign w:val="center"/>
                </w:tcPr>
                <w:p>
                  <w:pPr>
                    <w:pStyle w:val="52"/>
                    <w:jc w:val="center"/>
                    <w:rPr>
                      <w:sz w:val="21"/>
                      <w:szCs w:val="21"/>
                    </w:rPr>
                  </w:pPr>
                  <w:r>
                    <w:rPr>
                      <w:rFonts w:hint="eastAsia"/>
                      <w:sz w:val="21"/>
                      <w:szCs w:val="21"/>
                    </w:rPr>
                    <w:t>采用封闭式厂房进行生产，石材加工采用湿法作业，破碎机、振动筛等各产尘点进行局部全封闭。输送皮带进行封闭，投料口等产尘点安装雾化喷头。厂区地面硬化，原料、产品运输不装载过满，且对运输车辆采用棚布遮盖，确保其运输过程中无散落；运有物料的车辆采用棚布遮盖，定期人工清扫，在晴天对路面进行清扫和洒水</w:t>
                  </w:r>
                </w:p>
              </w:tc>
              <w:tc>
                <w:tcPr>
                  <w:tcW w:w="1701" w:type="dxa"/>
                  <w:vAlign w:val="center"/>
                </w:tcPr>
                <w:p>
                  <w:pPr>
                    <w:pStyle w:val="52"/>
                    <w:jc w:val="center"/>
                    <w:rPr>
                      <w:sz w:val="21"/>
                      <w:szCs w:val="21"/>
                    </w:rPr>
                  </w:pPr>
                  <w:r>
                    <w:rPr>
                      <w:rFonts w:hint="eastAsia"/>
                      <w:sz w:val="21"/>
                      <w:szCs w:val="21"/>
                    </w:rPr>
                    <w:t>《大气污染物综合排放标准》（GB16297-1996）表2中无组织排放监控浓度限值</w:t>
                  </w:r>
                </w:p>
              </w:tc>
              <w:tc>
                <w:tcPr>
                  <w:tcW w:w="1134" w:type="dxa"/>
                  <w:vAlign w:val="center"/>
                </w:tcPr>
                <w:p>
                  <w:pPr>
                    <w:pStyle w:val="52"/>
                    <w:jc w:val="center"/>
                    <w:rPr>
                      <w:sz w:val="21"/>
                      <w:szCs w:val="21"/>
                    </w:rPr>
                  </w:pPr>
                  <w:r>
                    <w:rPr>
                      <w:rFonts w:hint="eastAsia"/>
                      <w:sz w:val="21"/>
                      <w:szCs w:val="21"/>
                    </w:rPr>
                    <w:t>1.0</w:t>
                  </w:r>
                </w:p>
              </w:tc>
              <w:tc>
                <w:tcPr>
                  <w:tcW w:w="850" w:type="dxa"/>
                  <w:vAlign w:val="center"/>
                </w:tcPr>
                <w:p>
                  <w:pPr>
                    <w:pStyle w:val="52"/>
                    <w:jc w:val="center"/>
                    <w:rPr>
                      <w:sz w:val="21"/>
                      <w:szCs w:val="21"/>
                    </w:rPr>
                  </w:pPr>
                  <w:r>
                    <w:rPr>
                      <w:rFonts w:hint="eastAsia"/>
                      <w:sz w:val="21"/>
                      <w:szCs w:val="21"/>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2405" w:type="dxa"/>
                  <w:gridSpan w:val="3"/>
                  <w:vAlign w:val="center"/>
                </w:tcPr>
                <w:p>
                  <w:pPr>
                    <w:jc w:val="center"/>
                    <w:rPr>
                      <w:szCs w:val="21"/>
                    </w:rPr>
                  </w:pPr>
                  <w:r>
                    <w:rPr>
                      <w:rFonts w:eastAsia="宋体"/>
                      <w:szCs w:val="21"/>
                    </w:rPr>
                    <w:t>无组织排放总计</w:t>
                  </w:r>
                </w:p>
              </w:tc>
              <w:tc>
                <w:tcPr>
                  <w:tcW w:w="4678" w:type="dxa"/>
                  <w:gridSpan w:val="2"/>
                  <w:vAlign w:val="center"/>
                </w:tcPr>
                <w:p>
                  <w:pPr>
                    <w:pStyle w:val="52"/>
                    <w:snapToGrid w:val="0"/>
                    <w:jc w:val="center"/>
                    <w:rPr>
                      <w:sz w:val="21"/>
                      <w:szCs w:val="21"/>
                    </w:rPr>
                  </w:pPr>
                  <w:r>
                    <w:rPr>
                      <w:rFonts w:hint="eastAsia"/>
                      <w:sz w:val="21"/>
                      <w:szCs w:val="21"/>
                    </w:rPr>
                    <w:t>颗粒物</w:t>
                  </w:r>
                </w:p>
              </w:tc>
              <w:tc>
                <w:tcPr>
                  <w:tcW w:w="1984" w:type="dxa"/>
                  <w:gridSpan w:val="2"/>
                  <w:vAlign w:val="center"/>
                </w:tcPr>
                <w:p>
                  <w:pPr>
                    <w:pStyle w:val="52"/>
                    <w:jc w:val="center"/>
                    <w:rPr>
                      <w:sz w:val="21"/>
                      <w:szCs w:val="21"/>
                    </w:rPr>
                  </w:pPr>
                  <w:r>
                    <w:rPr>
                      <w:rFonts w:hint="eastAsia"/>
                      <w:sz w:val="21"/>
                      <w:szCs w:val="21"/>
                    </w:rPr>
                    <w:t>0.385</w:t>
                  </w:r>
                </w:p>
              </w:tc>
            </w:tr>
          </w:tbl>
          <w:p>
            <w:pPr>
              <w:spacing w:before="156" w:beforeLines="50" w:line="360" w:lineRule="auto"/>
              <w:ind w:firstLine="480" w:firstLineChars="200"/>
              <w:rPr>
                <w:rFonts w:ascii="Times New Roman" w:hAnsi="Times New Roman" w:cs="宋体"/>
                <w:sz w:val="24"/>
              </w:rPr>
            </w:pPr>
            <w:r>
              <w:rPr>
                <w:rFonts w:hint="eastAsia" w:ascii="Times New Roman" w:hAnsi="Times New Roman" w:cs="宋体"/>
                <w:sz w:val="24"/>
              </w:rPr>
              <w:t>③项目大气污染物年排放量核算</w:t>
            </w:r>
          </w:p>
          <w:p>
            <w:pPr>
              <w:spacing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12</w:t>
            </w:r>
            <w:r>
              <w:rPr>
                <w:rFonts w:ascii="Times New Roman" w:hAnsi="Times New Roman" w:cs="Times New Roman"/>
                <w:b/>
                <w:bCs/>
              </w:rPr>
              <w:fldChar w:fldCharType="end"/>
            </w:r>
            <w:r>
              <w:rPr>
                <w:rFonts w:hint="eastAsia" w:ascii="Times New Roman" w:hAnsi="Times New Roman" w:cs="Times New Roman"/>
                <w:b/>
                <w:bCs/>
              </w:rPr>
              <w:t xml:space="preserve">   大气污染物年排放量核算表</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4400"/>
              <w:gridCol w:w="3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46" w:type="dxa"/>
                  <w:vAlign w:val="center"/>
                </w:tcPr>
                <w:p>
                  <w:pPr>
                    <w:pStyle w:val="52"/>
                    <w:jc w:val="center"/>
                    <w:rPr>
                      <w:rFonts w:eastAsiaTheme="minorEastAsia"/>
                      <w:b/>
                      <w:sz w:val="21"/>
                      <w:szCs w:val="21"/>
                    </w:rPr>
                  </w:pPr>
                  <w:r>
                    <w:rPr>
                      <w:rFonts w:eastAsiaTheme="minorEastAsia"/>
                      <w:b/>
                      <w:sz w:val="21"/>
                      <w:szCs w:val="21"/>
                    </w:rPr>
                    <w:t>序号</w:t>
                  </w:r>
                </w:p>
              </w:tc>
              <w:tc>
                <w:tcPr>
                  <w:tcW w:w="4400" w:type="dxa"/>
                  <w:vAlign w:val="center"/>
                </w:tcPr>
                <w:p>
                  <w:pPr>
                    <w:pStyle w:val="52"/>
                    <w:jc w:val="center"/>
                    <w:rPr>
                      <w:rFonts w:eastAsiaTheme="minorEastAsia"/>
                      <w:b/>
                      <w:sz w:val="21"/>
                      <w:szCs w:val="21"/>
                    </w:rPr>
                  </w:pPr>
                  <w:r>
                    <w:rPr>
                      <w:rFonts w:eastAsiaTheme="minorEastAsia"/>
                      <w:b/>
                      <w:sz w:val="21"/>
                      <w:szCs w:val="21"/>
                    </w:rPr>
                    <w:t>污染物</w:t>
                  </w:r>
                </w:p>
              </w:tc>
              <w:tc>
                <w:tcPr>
                  <w:tcW w:w="3821" w:type="dxa"/>
                  <w:vAlign w:val="center"/>
                </w:tcPr>
                <w:p>
                  <w:pPr>
                    <w:pStyle w:val="52"/>
                    <w:jc w:val="center"/>
                    <w:rPr>
                      <w:rFonts w:eastAsiaTheme="minorEastAsia"/>
                      <w:b/>
                      <w:sz w:val="21"/>
                      <w:szCs w:val="21"/>
                    </w:rPr>
                  </w:pPr>
                  <w:r>
                    <w:rPr>
                      <w:rFonts w:eastAsiaTheme="minorEastAsia"/>
                      <w:b/>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46" w:type="dxa"/>
                  <w:vAlign w:val="center"/>
                </w:tcPr>
                <w:p>
                  <w:pPr>
                    <w:pStyle w:val="52"/>
                    <w:jc w:val="center"/>
                    <w:rPr>
                      <w:rFonts w:eastAsiaTheme="minorEastAsia"/>
                      <w:sz w:val="21"/>
                      <w:szCs w:val="21"/>
                    </w:rPr>
                  </w:pPr>
                  <w:r>
                    <w:rPr>
                      <w:rFonts w:eastAsiaTheme="minorEastAsia"/>
                      <w:sz w:val="21"/>
                      <w:szCs w:val="21"/>
                    </w:rPr>
                    <w:t>1</w:t>
                  </w:r>
                </w:p>
              </w:tc>
              <w:tc>
                <w:tcPr>
                  <w:tcW w:w="4400" w:type="dxa"/>
                  <w:vAlign w:val="center"/>
                </w:tcPr>
                <w:p>
                  <w:pPr>
                    <w:pStyle w:val="52"/>
                    <w:jc w:val="center"/>
                    <w:rPr>
                      <w:rFonts w:eastAsiaTheme="minorEastAsia"/>
                      <w:sz w:val="21"/>
                      <w:szCs w:val="21"/>
                      <w:vertAlign w:val="subscript"/>
                    </w:rPr>
                  </w:pPr>
                  <w:r>
                    <w:rPr>
                      <w:rFonts w:eastAsiaTheme="minorEastAsia"/>
                      <w:sz w:val="21"/>
                      <w:szCs w:val="21"/>
                    </w:rPr>
                    <w:t>颗粒物</w:t>
                  </w:r>
                </w:p>
              </w:tc>
              <w:tc>
                <w:tcPr>
                  <w:tcW w:w="3821" w:type="dxa"/>
                  <w:vAlign w:val="center"/>
                </w:tcPr>
                <w:p>
                  <w:pPr>
                    <w:pStyle w:val="52"/>
                    <w:jc w:val="center"/>
                    <w:rPr>
                      <w:rFonts w:eastAsiaTheme="minorEastAsia"/>
                      <w:sz w:val="21"/>
                      <w:szCs w:val="21"/>
                    </w:rPr>
                  </w:pPr>
                  <w:r>
                    <w:rPr>
                      <w:rFonts w:hint="eastAsia" w:eastAsiaTheme="minorEastAsia"/>
                      <w:sz w:val="21"/>
                      <w:szCs w:val="21"/>
                    </w:rPr>
                    <w:t>0.685</w:t>
                  </w:r>
                </w:p>
              </w:tc>
            </w:tr>
          </w:tbl>
          <w:p>
            <w:pPr>
              <w:spacing w:before="156" w:beforeLines="50" w:line="360" w:lineRule="auto"/>
              <w:ind w:firstLine="480" w:firstLineChars="200"/>
              <w:rPr>
                <w:rFonts w:ascii="Times New Roman" w:hAnsi="Times New Roman" w:cs="宋体"/>
                <w:sz w:val="24"/>
              </w:rPr>
            </w:pPr>
            <w:r>
              <w:rPr>
                <w:rFonts w:hint="eastAsia" w:ascii="Times New Roman" w:hAnsi="Times New Roman" w:cs="宋体"/>
                <w:sz w:val="24"/>
              </w:rPr>
              <w:t>④非正常排放量核算</w:t>
            </w:r>
          </w:p>
          <w:p>
            <w:pPr>
              <w:spacing w:line="360" w:lineRule="auto"/>
              <w:ind w:firstLine="480" w:firstLineChars="200"/>
              <w:rPr>
                <w:rFonts w:ascii="Times New Roman" w:hAnsi="Times New Roman" w:cs="宋体"/>
                <w:sz w:val="24"/>
              </w:rPr>
            </w:pPr>
            <w:r>
              <w:rPr>
                <w:rFonts w:hint="eastAsia" w:ascii="Times New Roman" w:hAnsi="Times New Roman" w:cs="宋体"/>
                <w:sz w:val="24"/>
              </w:rPr>
              <w:t>本项目以废气处理设施失效导致的非正常排放为例分析事故状态下大气污染物的排放情况，本项目的废气处理设施主要为布袋除尘器，一般可在出现故障后当天内发现，并在24h内进行维护或更换，本环评中非正常排放的单次持续时间按8h计。</w:t>
            </w:r>
          </w:p>
          <w:p>
            <w:pPr>
              <w:spacing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13</w:t>
            </w:r>
            <w:r>
              <w:rPr>
                <w:rFonts w:ascii="Times New Roman" w:hAnsi="Times New Roman" w:cs="Times New Roman"/>
                <w:b/>
                <w:bCs/>
              </w:rPr>
              <w:fldChar w:fldCharType="end"/>
            </w:r>
            <w:r>
              <w:rPr>
                <w:rFonts w:hint="eastAsia" w:ascii="Times New Roman" w:hAnsi="Times New Roman" w:cs="Times New Roman"/>
                <w:b/>
                <w:bCs/>
              </w:rPr>
              <w:t xml:space="preserve">   大气污染物年排放量核算表</w:t>
            </w:r>
          </w:p>
          <w:tbl>
            <w:tblPr>
              <w:tblStyle w:val="2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52"/>
              <w:gridCol w:w="839"/>
              <w:gridCol w:w="909"/>
              <w:gridCol w:w="676"/>
              <w:gridCol w:w="1194"/>
              <w:gridCol w:w="1110"/>
              <w:gridCol w:w="825"/>
              <w:gridCol w:w="568"/>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52" w:type="dxa"/>
                  <w:vAlign w:val="center"/>
                </w:tcPr>
                <w:p>
                  <w:pPr>
                    <w:pStyle w:val="52"/>
                    <w:jc w:val="center"/>
                    <w:rPr>
                      <w:b/>
                      <w:sz w:val="21"/>
                      <w:szCs w:val="21"/>
                    </w:rPr>
                  </w:pPr>
                  <w:r>
                    <w:rPr>
                      <w:b/>
                      <w:sz w:val="21"/>
                      <w:szCs w:val="21"/>
                    </w:rPr>
                    <w:t>序号</w:t>
                  </w:r>
                </w:p>
              </w:tc>
              <w:tc>
                <w:tcPr>
                  <w:tcW w:w="839" w:type="dxa"/>
                  <w:vAlign w:val="center"/>
                </w:tcPr>
                <w:p>
                  <w:pPr>
                    <w:pStyle w:val="52"/>
                    <w:jc w:val="center"/>
                    <w:rPr>
                      <w:b/>
                      <w:sz w:val="21"/>
                      <w:szCs w:val="21"/>
                    </w:rPr>
                  </w:pPr>
                  <w:r>
                    <w:rPr>
                      <w:b/>
                      <w:sz w:val="21"/>
                      <w:szCs w:val="21"/>
                    </w:rPr>
                    <w:t>污染源</w:t>
                  </w:r>
                </w:p>
              </w:tc>
              <w:tc>
                <w:tcPr>
                  <w:tcW w:w="909" w:type="dxa"/>
                  <w:vAlign w:val="center"/>
                </w:tcPr>
                <w:p>
                  <w:pPr>
                    <w:pStyle w:val="52"/>
                    <w:jc w:val="center"/>
                    <w:rPr>
                      <w:b/>
                      <w:sz w:val="21"/>
                      <w:szCs w:val="21"/>
                    </w:rPr>
                  </w:pPr>
                  <w:r>
                    <w:rPr>
                      <w:b/>
                      <w:sz w:val="21"/>
                      <w:szCs w:val="21"/>
                    </w:rPr>
                    <w:t>非正常排放原因</w:t>
                  </w:r>
                </w:p>
              </w:tc>
              <w:tc>
                <w:tcPr>
                  <w:tcW w:w="676" w:type="dxa"/>
                  <w:vAlign w:val="center"/>
                </w:tcPr>
                <w:p>
                  <w:pPr>
                    <w:pStyle w:val="52"/>
                    <w:jc w:val="center"/>
                    <w:rPr>
                      <w:b/>
                      <w:sz w:val="21"/>
                      <w:szCs w:val="21"/>
                    </w:rPr>
                  </w:pPr>
                  <w:r>
                    <w:rPr>
                      <w:b/>
                      <w:sz w:val="21"/>
                      <w:szCs w:val="21"/>
                    </w:rPr>
                    <w:t>污染物</w:t>
                  </w:r>
                </w:p>
              </w:tc>
              <w:tc>
                <w:tcPr>
                  <w:tcW w:w="1194" w:type="dxa"/>
                  <w:vAlign w:val="center"/>
                </w:tcPr>
                <w:p>
                  <w:pPr>
                    <w:pStyle w:val="52"/>
                    <w:spacing w:before="45"/>
                    <w:jc w:val="center"/>
                    <w:rPr>
                      <w:b/>
                      <w:sz w:val="21"/>
                      <w:szCs w:val="21"/>
                    </w:rPr>
                  </w:pPr>
                  <w:r>
                    <w:rPr>
                      <w:b/>
                      <w:sz w:val="21"/>
                      <w:szCs w:val="21"/>
                    </w:rPr>
                    <w:t>非正常排放浓度(</w:t>
                  </w:r>
                  <w:r>
                    <w:rPr>
                      <w:rFonts w:hint="eastAsia"/>
                      <w:b/>
                      <w:sz w:val="21"/>
                      <w:szCs w:val="21"/>
                    </w:rPr>
                    <w:t>m</w:t>
                  </w:r>
                  <w:r>
                    <w:rPr>
                      <w:b/>
                      <w:sz w:val="21"/>
                      <w:szCs w:val="21"/>
                    </w:rPr>
                    <w:t>g/m</w:t>
                  </w:r>
                  <w:r>
                    <w:rPr>
                      <w:rFonts w:hint="eastAsia"/>
                      <w:b/>
                      <w:sz w:val="21"/>
                      <w:szCs w:val="21"/>
                      <w:vertAlign w:val="superscript"/>
                    </w:rPr>
                    <w:t>3</w:t>
                  </w:r>
                  <w:r>
                    <w:rPr>
                      <w:b/>
                      <w:sz w:val="21"/>
                      <w:szCs w:val="21"/>
                    </w:rPr>
                    <w:t>)</w:t>
                  </w:r>
                </w:p>
              </w:tc>
              <w:tc>
                <w:tcPr>
                  <w:tcW w:w="1110" w:type="dxa"/>
                  <w:vAlign w:val="center"/>
                </w:tcPr>
                <w:p>
                  <w:pPr>
                    <w:pStyle w:val="52"/>
                    <w:spacing w:before="33"/>
                    <w:jc w:val="center"/>
                    <w:rPr>
                      <w:b/>
                      <w:sz w:val="21"/>
                      <w:szCs w:val="21"/>
                    </w:rPr>
                  </w:pPr>
                  <w:r>
                    <w:rPr>
                      <w:b/>
                      <w:sz w:val="21"/>
                      <w:szCs w:val="21"/>
                    </w:rPr>
                    <w:t>非正常排放速率/(kg/h）</w:t>
                  </w:r>
                </w:p>
              </w:tc>
              <w:tc>
                <w:tcPr>
                  <w:tcW w:w="825" w:type="dxa"/>
                  <w:vAlign w:val="center"/>
                </w:tcPr>
                <w:p>
                  <w:pPr>
                    <w:pStyle w:val="52"/>
                    <w:jc w:val="center"/>
                    <w:rPr>
                      <w:b/>
                      <w:sz w:val="21"/>
                      <w:szCs w:val="21"/>
                    </w:rPr>
                  </w:pPr>
                  <w:r>
                    <w:rPr>
                      <w:b/>
                      <w:sz w:val="21"/>
                      <w:szCs w:val="21"/>
                    </w:rPr>
                    <w:t>单次持续时间/h</w:t>
                  </w:r>
                </w:p>
              </w:tc>
              <w:tc>
                <w:tcPr>
                  <w:tcW w:w="568" w:type="dxa"/>
                  <w:vAlign w:val="center"/>
                </w:tcPr>
                <w:p>
                  <w:pPr>
                    <w:pStyle w:val="52"/>
                    <w:spacing w:before="33"/>
                    <w:jc w:val="center"/>
                    <w:rPr>
                      <w:b/>
                      <w:sz w:val="21"/>
                      <w:szCs w:val="21"/>
                    </w:rPr>
                  </w:pPr>
                  <w:r>
                    <w:rPr>
                      <w:b/>
                      <w:sz w:val="21"/>
                      <w:szCs w:val="21"/>
                    </w:rPr>
                    <w:t>年发生频次/次</w:t>
                  </w:r>
                </w:p>
              </w:tc>
              <w:tc>
                <w:tcPr>
                  <w:tcW w:w="2494" w:type="dxa"/>
                  <w:vAlign w:val="center"/>
                </w:tcPr>
                <w:p>
                  <w:pPr>
                    <w:pStyle w:val="52"/>
                    <w:spacing w:before="33"/>
                    <w:jc w:val="center"/>
                    <w:rPr>
                      <w:b/>
                      <w:sz w:val="21"/>
                      <w:szCs w:val="21"/>
                    </w:rPr>
                  </w:pPr>
                  <w:r>
                    <w:rPr>
                      <w:b/>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rPr>
              <w:tc>
                <w:tcPr>
                  <w:tcW w:w="452" w:type="dxa"/>
                  <w:vAlign w:val="center"/>
                </w:tcPr>
                <w:p>
                  <w:pPr>
                    <w:pStyle w:val="52"/>
                    <w:jc w:val="center"/>
                    <w:rPr>
                      <w:sz w:val="21"/>
                      <w:szCs w:val="21"/>
                    </w:rPr>
                  </w:pPr>
                  <w:r>
                    <w:rPr>
                      <w:rFonts w:hint="eastAsia"/>
                      <w:sz w:val="21"/>
                      <w:szCs w:val="21"/>
                    </w:rPr>
                    <w:t>1</w:t>
                  </w:r>
                </w:p>
              </w:tc>
              <w:tc>
                <w:tcPr>
                  <w:tcW w:w="839" w:type="dxa"/>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破碎筛分粉尘排气筒</w:t>
                  </w:r>
                </w:p>
              </w:tc>
              <w:tc>
                <w:tcPr>
                  <w:tcW w:w="909" w:type="dxa"/>
                  <w:vAlign w:val="center"/>
                </w:tcPr>
                <w:p>
                  <w:pPr>
                    <w:pStyle w:val="52"/>
                    <w:jc w:val="center"/>
                    <w:rPr>
                      <w:sz w:val="21"/>
                      <w:szCs w:val="21"/>
                    </w:rPr>
                  </w:pPr>
                  <w:r>
                    <w:rPr>
                      <w:rFonts w:hint="eastAsia"/>
                      <w:sz w:val="21"/>
                      <w:szCs w:val="21"/>
                    </w:rPr>
                    <w:t>除尘设施故障</w:t>
                  </w:r>
                </w:p>
              </w:tc>
              <w:tc>
                <w:tcPr>
                  <w:tcW w:w="676" w:type="dxa"/>
                  <w:vAlign w:val="center"/>
                </w:tcPr>
                <w:p>
                  <w:pPr>
                    <w:pStyle w:val="52"/>
                    <w:jc w:val="center"/>
                    <w:rPr>
                      <w:sz w:val="21"/>
                      <w:szCs w:val="21"/>
                    </w:rPr>
                  </w:pPr>
                  <w:r>
                    <w:rPr>
                      <w:rFonts w:hint="eastAsia"/>
                      <w:sz w:val="21"/>
                      <w:szCs w:val="21"/>
                    </w:rPr>
                    <w:t>颗粒物</w:t>
                  </w:r>
                </w:p>
              </w:tc>
              <w:tc>
                <w:tcPr>
                  <w:tcW w:w="1194" w:type="dxa"/>
                  <w:vAlign w:val="center"/>
                </w:tcPr>
                <w:p>
                  <w:pPr>
                    <w:pStyle w:val="52"/>
                    <w:jc w:val="center"/>
                    <w:rPr>
                      <w:sz w:val="21"/>
                      <w:szCs w:val="21"/>
                    </w:rPr>
                  </w:pPr>
                  <w:r>
                    <w:rPr>
                      <w:rFonts w:hint="eastAsia"/>
                      <w:sz w:val="21"/>
                      <w:szCs w:val="21"/>
                    </w:rPr>
                    <w:t>2500</w:t>
                  </w:r>
                </w:p>
              </w:tc>
              <w:tc>
                <w:tcPr>
                  <w:tcW w:w="1110" w:type="dxa"/>
                  <w:vAlign w:val="center"/>
                </w:tcPr>
                <w:p>
                  <w:pPr>
                    <w:pStyle w:val="52"/>
                    <w:jc w:val="center"/>
                    <w:rPr>
                      <w:sz w:val="21"/>
                      <w:szCs w:val="21"/>
                    </w:rPr>
                  </w:pPr>
                  <w:r>
                    <w:rPr>
                      <w:rFonts w:hint="eastAsia"/>
                      <w:sz w:val="21"/>
                      <w:szCs w:val="21"/>
                    </w:rPr>
                    <w:t>12.5</w:t>
                  </w:r>
                </w:p>
              </w:tc>
              <w:tc>
                <w:tcPr>
                  <w:tcW w:w="825" w:type="dxa"/>
                  <w:vAlign w:val="center"/>
                </w:tcPr>
                <w:p>
                  <w:pPr>
                    <w:pStyle w:val="52"/>
                    <w:jc w:val="center"/>
                    <w:rPr>
                      <w:sz w:val="21"/>
                      <w:szCs w:val="21"/>
                    </w:rPr>
                  </w:pPr>
                  <w:r>
                    <w:rPr>
                      <w:rFonts w:hint="eastAsia"/>
                      <w:sz w:val="21"/>
                      <w:szCs w:val="21"/>
                    </w:rPr>
                    <w:t>8h</w:t>
                  </w:r>
                </w:p>
              </w:tc>
              <w:tc>
                <w:tcPr>
                  <w:tcW w:w="568" w:type="dxa"/>
                  <w:vAlign w:val="center"/>
                </w:tcPr>
                <w:p>
                  <w:pPr>
                    <w:pStyle w:val="52"/>
                    <w:jc w:val="center"/>
                    <w:rPr>
                      <w:sz w:val="21"/>
                      <w:szCs w:val="21"/>
                    </w:rPr>
                  </w:pPr>
                  <w:r>
                    <w:rPr>
                      <w:rFonts w:hint="eastAsia"/>
                      <w:sz w:val="21"/>
                      <w:szCs w:val="21"/>
                    </w:rPr>
                    <w:t>/</w:t>
                  </w:r>
                </w:p>
              </w:tc>
              <w:tc>
                <w:tcPr>
                  <w:tcW w:w="2494" w:type="dxa"/>
                  <w:vAlign w:val="center"/>
                </w:tcPr>
                <w:p>
                  <w:pPr>
                    <w:pStyle w:val="52"/>
                    <w:jc w:val="center"/>
                    <w:rPr>
                      <w:sz w:val="21"/>
                      <w:szCs w:val="21"/>
                    </w:rPr>
                  </w:pPr>
                  <w:r>
                    <w:rPr>
                      <w:sz w:val="21"/>
                      <w:szCs w:val="21"/>
                    </w:rPr>
                    <w:t>做好</w:t>
                  </w:r>
                  <w:r>
                    <w:rPr>
                      <w:rFonts w:hint="eastAsia"/>
                      <w:sz w:val="21"/>
                      <w:szCs w:val="21"/>
                    </w:rPr>
                    <w:t>废气处理设施</w:t>
                  </w:r>
                  <w:r>
                    <w:rPr>
                      <w:sz w:val="21"/>
                      <w:szCs w:val="21"/>
                    </w:rPr>
                    <w:t>的检修</w:t>
                  </w:r>
                  <w:r>
                    <w:rPr>
                      <w:rFonts w:hint="eastAsia"/>
                      <w:sz w:val="21"/>
                      <w:szCs w:val="21"/>
                    </w:rPr>
                    <w:t>和维护</w:t>
                  </w:r>
                  <w:r>
                    <w:rPr>
                      <w:sz w:val="21"/>
                      <w:szCs w:val="21"/>
                    </w:rPr>
                    <w:t>，保持</w:t>
                  </w:r>
                  <w:r>
                    <w:rPr>
                      <w:rFonts w:hint="eastAsia"/>
                      <w:sz w:val="21"/>
                      <w:szCs w:val="21"/>
                    </w:rPr>
                    <w:t>设备</w:t>
                  </w:r>
                  <w:r>
                    <w:rPr>
                      <w:sz w:val="21"/>
                      <w:szCs w:val="21"/>
                    </w:rPr>
                    <w:t>的正常运行，</w:t>
                  </w:r>
                  <w:r>
                    <w:rPr>
                      <w:rFonts w:hint="eastAsia"/>
                      <w:sz w:val="21"/>
                      <w:szCs w:val="21"/>
                    </w:rPr>
                    <w:t>减少</w:t>
                  </w:r>
                  <w:r>
                    <w:rPr>
                      <w:sz w:val="21"/>
                      <w:szCs w:val="21"/>
                    </w:rPr>
                    <w:t>非正常工况下</w:t>
                  </w:r>
                  <w:r>
                    <w:rPr>
                      <w:rFonts w:hint="eastAsia"/>
                      <w:sz w:val="21"/>
                      <w:szCs w:val="21"/>
                    </w:rPr>
                    <w:t>事故排放，减少</w:t>
                  </w:r>
                  <w:r>
                    <w:rPr>
                      <w:sz w:val="21"/>
                      <w:szCs w:val="21"/>
                    </w:rPr>
                    <w:t>废气排放对周边环境的影响</w:t>
                  </w:r>
                </w:p>
              </w:tc>
            </w:tr>
          </w:tbl>
          <w:p>
            <w:pPr>
              <w:spacing w:line="360" w:lineRule="auto"/>
              <w:ind w:firstLine="480" w:firstLineChars="200"/>
              <w:rPr>
                <w:rFonts w:ascii="Times New Roman" w:hAnsi="Times New Roman" w:cs="宋体"/>
                <w:sz w:val="24"/>
              </w:rPr>
            </w:pPr>
            <w:r>
              <w:rPr>
                <w:rFonts w:hint="eastAsia" w:ascii="Times New Roman" w:hAnsi="Times New Roman" w:cs="宋体"/>
                <w:sz w:val="24"/>
              </w:rPr>
              <w:t>在处理设施失效等非正常工况下，项目产生的颗粒物均不能做到达标排放，因此，在非正常工况下，项目产生废气会对场地周围大气环境产生不利影响，因此项目建设单位应做好废气处理设施的检修和维护，确保处理设施的正常运行，减少非正常工况下事故排放，减少废气排放对周边环境的影响。</w:t>
            </w:r>
          </w:p>
          <w:p>
            <w:pPr>
              <w:spacing w:line="360" w:lineRule="auto"/>
              <w:ind w:firstLine="480" w:firstLineChars="200"/>
              <w:rPr>
                <w:rFonts w:ascii="Times New Roman" w:hAnsi="Times New Roman" w:cs="宋体"/>
                <w:sz w:val="24"/>
              </w:rPr>
            </w:pPr>
            <w:r>
              <w:rPr>
                <w:rFonts w:hint="eastAsia" w:ascii="Times New Roman" w:hAnsi="Times New Roman" w:cs="宋体"/>
                <w:sz w:val="24"/>
              </w:rPr>
              <w:t>根据前文分析和核算，正常情况下本项目废气可以做到稳定达标排放，项目无组织排放的颗粒物下风向最大落地浓度远低于环境质量空气标准限值，项目营运期排放的污染物对周边大气环境的影响不大。</w:t>
            </w:r>
          </w:p>
          <w:p>
            <w:pPr>
              <w:spacing w:line="360" w:lineRule="auto"/>
              <w:ind w:firstLine="482" w:firstLineChars="200"/>
              <w:rPr>
                <w:rFonts w:ascii="Times New Roman" w:hAnsi="Times New Roman" w:cs="宋体"/>
                <w:b/>
                <w:sz w:val="24"/>
                <w:u w:val="single"/>
              </w:rPr>
            </w:pPr>
            <w:r>
              <w:rPr>
                <w:rFonts w:hint="eastAsia" w:ascii="Times New Roman" w:hAnsi="Times New Roman" w:cs="宋体"/>
                <w:b/>
                <w:sz w:val="24"/>
                <w:u w:val="single"/>
              </w:rPr>
              <w:t>（4）大气环境防护距离和卫生防护距离</w:t>
            </w:r>
          </w:p>
          <w:p>
            <w:pPr>
              <w:spacing w:line="360" w:lineRule="auto"/>
              <w:ind w:firstLine="480" w:firstLineChars="200"/>
              <w:rPr>
                <w:rFonts w:ascii="Times New Roman" w:hAnsi="Times New Roman" w:cs="宋体"/>
                <w:sz w:val="24"/>
                <w:u w:val="single"/>
              </w:rPr>
            </w:pPr>
            <w:r>
              <w:rPr>
                <w:rFonts w:hint="eastAsia" w:ascii="Times New Roman" w:hAnsi="Times New Roman" w:cs="宋体"/>
                <w:sz w:val="24"/>
                <w:u w:val="single"/>
              </w:rPr>
              <w:t>根据导则推荐的大气环境防护距离计算模式，本项目污染源大气防护距离计算结果为“无超标点”。因此，本项目无需设置大气环境防护距离。</w:t>
            </w:r>
          </w:p>
          <w:p>
            <w:pPr>
              <w:spacing w:line="360" w:lineRule="auto"/>
              <w:jc w:val="center"/>
              <w:rPr>
                <w:rFonts w:ascii="Times New Roman" w:hAnsi="Times New Roman" w:cs="宋体"/>
                <w:sz w:val="24"/>
                <w:u w:val="single"/>
              </w:rPr>
            </w:pPr>
            <w:r>
              <w:rPr>
                <w:rFonts w:ascii="Times New Roman" w:hAnsi="Times New Roman" w:cs="宋体"/>
                <w:sz w:val="24"/>
                <w:u w:val="single"/>
              </w:rPr>
              <w:drawing>
                <wp:inline distT="0" distB="0" distL="0" distR="0">
                  <wp:extent cx="5419725" cy="3181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419725" cy="3181350"/>
                          </a:xfrm>
                          <a:prstGeom prst="rect">
                            <a:avLst/>
                          </a:prstGeom>
                        </pic:spPr>
                      </pic:pic>
                    </a:graphicData>
                  </a:graphic>
                </wp:inline>
              </w:drawing>
            </w:r>
          </w:p>
          <w:p>
            <w:pPr>
              <w:spacing w:after="156" w:afterLines="50" w:line="360" w:lineRule="auto"/>
              <w:jc w:val="center"/>
              <w:rPr>
                <w:rFonts w:ascii="Times New Roman" w:hAnsi="Times New Roman" w:cs="Times New Roman"/>
                <w:b/>
                <w:bCs/>
              </w:rPr>
            </w:pPr>
            <w:r>
              <w:rPr>
                <w:rFonts w:hint="eastAsia" w:ascii="Times New Roman" w:hAnsi="Times New Roman" w:cs="Times New Roman"/>
                <w:b/>
                <w:bCs/>
              </w:rPr>
              <w:t>图7-3</w:t>
            </w:r>
            <w:r>
              <w:rPr>
                <w:rFonts w:ascii="Times New Roman" w:hAnsi="Times New Roman" w:cs="Times New Roman"/>
                <w:b/>
                <w:bCs/>
              </w:rPr>
              <w:t xml:space="preserve">  </w:t>
            </w:r>
            <w:r>
              <w:rPr>
                <w:rFonts w:hint="eastAsia" w:ascii="Times New Roman" w:hAnsi="Times New Roman" w:cs="Times New Roman"/>
                <w:b/>
                <w:bCs/>
              </w:rPr>
              <w:t>大气环境防护距离计算结果截图</w:t>
            </w:r>
          </w:p>
          <w:p>
            <w:pPr>
              <w:spacing w:line="360" w:lineRule="auto"/>
              <w:jc w:val="center"/>
              <w:rPr>
                <w:rFonts w:ascii="Times New Roman" w:hAnsi="Times New Roman" w:cs="宋体"/>
                <w:sz w:val="24"/>
                <w:u w:val="single"/>
              </w:rPr>
            </w:pP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根据《制定地方大气污染物排放标准的技术方法》（GB/T 3840-1991）的有关规定，卫生防护距离</w:t>
            </w:r>
            <w:r>
              <w:rPr>
                <w:rFonts w:hint="eastAsia" w:ascii="Times New Roman" w:hAnsi="Times New Roman" w:cs="Times New Roman"/>
                <w:color w:val="auto"/>
                <w:kern w:val="0"/>
                <w:szCs w:val="22"/>
                <w:u w:val="single"/>
              </w:rPr>
              <w:t>计算公式如下：</w:t>
            </w:r>
          </w:p>
          <w:p>
            <w:pPr>
              <w:pStyle w:val="36"/>
              <w:ind w:firstLine="0" w:firstLineChars="0"/>
              <w:jc w:val="center"/>
              <w:rPr>
                <w:rFonts w:ascii="Times New Roman" w:hAnsi="Times New Roman" w:cs="Times New Roman"/>
                <w:color w:val="auto"/>
                <w:kern w:val="0"/>
                <w:szCs w:val="22"/>
                <w:u w:val="single"/>
              </w:rPr>
            </w:pPr>
            <w:r>
              <w:rPr>
                <w:color w:val="auto"/>
                <w:position w:val="-30"/>
                <w:szCs w:val="22"/>
                <w:u w:val="single"/>
              </w:rPr>
              <w:object>
                <v:shape id="_x0000_i1046" o:spt="75" type="#_x0000_t75" style="height:33.75pt;width:135.75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2" r:id="rId47">
                  <o:LockedField>false</o:LockedField>
                </o:OLEObject>
              </w:object>
            </w: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式中：C</w:t>
            </w:r>
            <w:r>
              <w:rPr>
                <w:rFonts w:ascii="Times New Roman" w:hAnsi="Times New Roman" w:cs="Times New Roman"/>
                <w:color w:val="auto"/>
                <w:kern w:val="0"/>
                <w:szCs w:val="22"/>
                <w:u w:val="single"/>
                <w:vertAlign w:val="subscript"/>
              </w:rPr>
              <w:t>m</w:t>
            </w:r>
            <w:r>
              <w:rPr>
                <w:rFonts w:hint="eastAsia" w:ascii="Times New Roman" w:hAnsi="Times New Roman" w:cs="Times New Roman"/>
                <w:color w:val="auto"/>
                <w:kern w:val="0"/>
                <w:szCs w:val="22"/>
                <w:u w:val="single"/>
              </w:rPr>
              <w:t>——</w:t>
            </w:r>
            <w:r>
              <w:rPr>
                <w:rFonts w:ascii="Times New Roman" w:hAnsi="Times New Roman" w:cs="Times New Roman"/>
                <w:color w:val="auto"/>
                <w:kern w:val="0"/>
                <w:szCs w:val="22"/>
                <w:u w:val="single"/>
              </w:rPr>
              <w:t>标准浓度限值；</w:t>
            </w: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L</w:t>
            </w:r>
            <w:r>
              <w:rPr>
                <w:rFonts w:hint="eastAsia" w:ascii="Times New Roman" w:hAnsi="Times New Roman" w:cs="Times New Roman"/>
                <w:color w:val="auto"/>
                <w:kern w:val="0"/>
                <w:szCs w:val="22"/>
                <w:u w:val="single"/>
              </w:rPr>
              <w:t>——</w:t>
            </w:r>
            <w:r>
              <w:rPr>
                <w:rFonts w:ascii="Times New Roman" w:hAnsi="Times New Roman" w:cs="Times New Roman"/>
                <w:color w:val="auto"/>
                <w:kern w:val="0"/>
                <w:szCs w:val="22"/>
                <w:u w:val="single"/>
              </w:rPr>
              <w:t>工业企业所需卫生防护距离，m；</w:t>
            </w: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R</w:t>
            </w:r>
            <w:r>
              <w:rPr>
                <w:rFonts w:hint="eastAsia" w:ascii="Times New Roman" w:hAnsi="Times New Roman" w:cs="Times New Roman"/>
                <w:color w:val="auto"/>
                <w:kern w:val="0"/>
                <w:szCs w:val="22"/>
                <w:u w:val="single"/>
              </w:rPr>
              <w:t>——</w:t>
            </w:r>
            <w:r>
              <w:rPr>
                <w:rFonts w:ascii="Times New Roman" w:hAnsi="Times New Roman" w:cs="Times New Roman"/>
                <w:color w:val="auto"/>
                <w:kern w:val="0"/>
                <w:szCs w:val="22"/>
                <w:u w:val="single"/>
              </w:rPr>
              <w:t>有害气体无组织排放源所在生产单元的等效半径，m，根据该生产单元面积S（m</w:t>
            </w:r>
            <w:r>
              <w:rPr>
                <w:rFonts w:ascii="Times New Roman" w:hAnsi="Times New Roman" w:cs="Times New Roman"/>
                <w:color w:val="auto"/>
                <w:kern w:val="0"/>
                <w:szCs w:val="22"/>
                <w:u w:val="single"/>
                <w:vertAlign w:val="superscript"/>
              </w:rPr>
              <w:t>2</w:t>
            </w:r>
            <w:r>
              <w:rPr>
                <w:rFonts w:ascii="Times New Roman" w:hAnsi="Times New Roman" w:cs="Times New Roman"/>
                <w:color w:val="auto"/>
                <w:kern w:val="0"/>
                <w:szCs w:val="22"/>
                <w:u w:val="single"/>
              </w:rPr>
              <w:t>）计算，r=（S/π）1/2；</w:t>
            </w: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Qc</w:t>
            </w:r>
            <w:r>
              <w:rPr>
                <w:rFonts w:hint="eastAsia" w:ascii="Times New Roman" w:hAnsi="Times New Roman" w:cs="Times New Roman"/>
                <w:color w:val="auto"/>
                <w:kern w:val="0"/>
                <w:szCs w:val="22"/>
                <w:u w:val="single"/>
              </w:rPr>
              <w:t>——</w:t>
            </w:r>
            <w:r>
              <w:rPr>
                <w:rFonts w:ascii="Times New Roman" w:hAnsi="Times New Roman" w:cs="Times New Roman"/>
                <w:color w:val="auto"/>
                <w:kern w:val="0"/>
                <w:szCs w:val="22"/>
                <w:u w:val="single"/>
              </w:rPr>
              <w:t>工业企业有害气体无组织排放量可达到的控制水平kg/h；</w:t>
            </w:r>
          </w:p>
          <w:p>
            <w:pPr>
              <w:pStyle w:val="36"/>
              <w:ind w:firstLine="480"/>
              <w:rPr>
                <w:rFonts w:ascii="Times New Roman" w:hAnsi="Times New Roman" w:cs="Times New Roman"/>
                <w:color w:val="auto"/>
                <w:kern w:val="0"/>
                <w:szCs w:val="22"/>
                <w:u w:val="single"/>
              </w:rPr>
            </w:pPr>
            <w:r>
              <w:rPr>
                <w:rFonts w:ascii="Times New Roman" w:hAnsi="Times New Roman" w:cs="Times New Roman"/>
                <w:color w:val="auto"/>
                <w:kern w:val="0"/>
                <w:szCs w:val="22"/>
                <w:u w:val="single"/>
              </w:rPr>
              <w:t>A、B、C、D</w:t>
            </w:r>
            <w:r>
              <w:rPr>
                <w:rFonts w:hint="eastAsia" w:ascii="Times New Roman" w:hAnsi="Times New Roman" w:cs="Times New Roman"/>
                <w:color w:val="auto"/>
                <w:kern w:val="0"/>
                <w:szCs w:val="22"/>
                <w:u w:val="single"/>
              </w:rPr>
              <w:t>——</w:t>
            </w:r>
            <w:r>
              <w:rPr>
                <w:rFonts w:ascii="Times New Roman" w:hAnsi="Times New Roman" w:cs="Times New Roman"/>
                <w:color w:val="auto"/>
                <w:kern w:val="0"/>
                <w:szCs w:val="22"/>
                <w:u w:val="single"/>
              </w:rPr>
              <w:t>计算系数，根据所在地区近五年来平均风速及工业企业大气污染源构成类别查取。根据</w:t>
            </w:r>
            <w:r>
              <w:rPr>
                <w:rFonts w:hint="eastAsia" w:ascii="Times New Roman" w:hAnsi="Times New Roman" w:cs="Times New Roman"/>
                <w:color w:val="auto"/>
                <w:kern w:val="0"/>
                <w:szCs w:val="22"/>
                <w:u w:val="single"/>
              </w:rPr>
              <w:t>区域</w:t>
            </w:r>
            <w:r>
              <w:rPr>
                <w:rFonts w:ascii="Times New Roman" w:hAnsi="Times New Roman" w:cs="Times New Roman"/>
                <w:color w:val="auto"/>
                <w:kern w:val="0"/>
                <w:szCs w:val="22"/>
                <w:u w:val="single"/>
              </w:rPr>
              <w:t>多年气象统计数据，取</w:t>
            </w:r>
            <w:r>
              <w:rPr>
                <w:rFonts w:hint="eastAsia" w:ascii="Times New Roman" w:hAnsi="Times New Roman" w:cs="Times New Roman"/>
                <w:color w:val="auto"/>
                <w:kern w:val="0"/>
                <w:szCs w:val="22"/>
                <w:u w:val="single"/>
              </w:rPr>
              <w:t>项目所在</w:t>
            </w:r>
            <w:r>
              <w:rPr>
                <w:rFonts w:ascii="Times New Roman" w:hAnsi="Times New Roman" w:cs="Times New Roman"/>
                <w:color w:val="auto"/>
                <w:kern w:val="0"/>
                <w:szCs w:val="22"/>
                <w:u w:val="single"/>
              </w:rPr>
              <w:t>地区常年平均风速</w:t>
            </w:r>
            <w:r>
              <w:rPr>
                <w:rFonts w:hint="eastAsia" w:ascii="Times New Roman" w:hAnsi="Times New Roman" w:cs="Times New Roman"/>
                <w:color w:val="auto"/>
                <w:kern w:val="0"/>
                <w:szCs w:val="22"/>
                <w:u w:val="single"/>
              </w:rPr>
              <w:t>1.7</w:t>
            </w:r>
            <w:r>
              <w:rPr>
                <w:rFonts w:ascii="Times New Roman" w:hAnsi="Times New Roman" w:cs="Times New Roman"/>
                <w:color w:val="auto"/>
                <w:kern w:val="0"/>
                <w:szCs w:val="22"/>
                <w:u w:val="single"/>
              </w:rPr>
              <w:t>m/s 作为预测风速。计算系数取值为：A=</w:t>
            </w:r>
            <w:r>
              <w:rPr>
                <w:rFonts w:hint="eastAsia" w:ascii="Times New Roman" w:hAnsi="Times New Roman" w:cs="Times New Roman"/>
                <w:color w:val="auto"/>
                <w:kern w:val="0"/>
                <w:szCs w:val="22"/>
                <w:u w:val="single"/>
              </w:rPr>
              <w:t>400</w:t>
            </w:r>
            <w:r>
              <w:rPr>
                <w:rFonts w:ascii="Times New Roman" w:hAnsi="Times New Roman" w:cs="Times New Roman"/>
                <w:color w:val="auto"/>
                <w:kern w:val="0"/>
                <w:szCs w:val="22"/>
                <w:u w:val="single"/>
              </w:rPr>
              <w:t>，B=0.0</w:t>
            </w:r>
            <w:r>
              <w:rPr>
                <w:rFonts w:hint="eastAsia" w:ascii="Times New Roman" w:hAnsi="Times New Roman" w:cs="Times New Roman"/>
                <w:color w:val="auto"/>
                <w:kern w:val="0"/>
                <w:szCs w:val="22"/>
                <w:u w:val="single"/>
              </w:rPr>
              <w:t>1</w:t>
            </w:r>
            <w:r>
              <w:rPr>
                <w:rFonts w:ascii="Times New Roman" w:hAnsi="Times New Roman" w:cs="Times New Roman"/>
                <w:color w:val="auto"/>
                <w:kern w:val="0"/>
                <w:szCs w:val="22"/>
                <w:u w:val="single"/>
              </w:rPr>
              <w:t>，C=1.85，D=0.</w:t>
            </w:r>
            <w:r>
              <w:rPr>
                <w:rFonts w:hint="eastAsia" w:ascii="Times New Roman" w:hAnsi="Times New Roman" w:cs="Times New Roman"/>
                <w:color w:val="auto"/>
                <w:kern w:val="0"/>
                <w:szCs w:val="22"/>
                <w:u w:val="single"/>
              </w:rPr>
              <w:t>78</w:t>
            </w:r>
            <w:r>
              <w:rPr>
                <w:rFonts w:ascii="Times New Roman" w:hAnsi="Times New Roman" w:cs="Times New Roman"/>
                <w:color w:val="auto"/>
                <w:kern w:val="0"/>
                <w:szCs w:val="22"/>
                <w:u w:val="single"/>
              </w:rPr>
              <w:t>。</w:t>
            </w:r>
          </w:p>
          <w:p>
            <w:pPr>
              <w:spacing w:line="360" w:lineRule="auto"/>
              <w:ind w:firstLine="480" w:firstLineChars="200"/>
              <w:rPr>
                <w:rFonts w:ascii="Times New Roman" w:hAnsi="Times New Roman" w:eastAsia="宋体" w:cs="Times New Roman"/>
                <w:kern w:val="0"/>
                <w:sz w:val="24"/>
                <w:u w:val="single"/>
              </w:rPr>
            </w:pPr>
            <w:r>
              <w:rPr>
                <w:rFonts w:ascii="Times New Roman" w:hAnsi="Times New Roman" w:eastAsia="宋体" w:cs="Times New Roman"/>
                <w:kern w:val="0"/>
                <w:sz w:val="24"/>
                <w:u w:val="single"/>
              </w:rPr>
              <w:t>计算结果</w:t>
            </w:r>
            <w:r>
              <w:rPr>
                <w:rFonts w:hint="eastAsia" w:ascii="Times New Roman" w:hAnsi="Times New Roman" w:eastAsia="宋体" w:cs="Times New Roman"/>
                <w:kern w:val="0"/>
                <w:sz w:val="24"/>
                <w:u w:val="single"/>
              </w:rPr>
              <w:t>如下图所示</w:t>
            </w:r>
            <w:r>
              <w:rPr>
                <w:rFonts w:ascii="Times New Roman" w:hAnsi="Times New Roman" w:eastAsia="宋体" w:cs="Times New Roman"/>
                <w:kern w:val="0"/>
                <w:sz w:val="24"/>
                <w:u w:val="single"/>
              </w:rPr>
              <w:t>。</w:t>
            </w:r>
          </w:p>
          <w:p>
            <w:pPr>
              <w:spacing w:line="360" w:lineRule="auto"/>
              <w:jc w:val="center"/>
              <w:rPr>
                <w:rFonts w:ascii="Times New Roman" w:hAnsi="Times New Roman" w:eastAsia="宋体" w:cs="Times New Roman"/>
                <w:kern w:val="0"/>
                <w:sz w:val="24"/>
                <w:u w:val="single"/>
              </w:rPr>
            </w:pPr>
            <w:r>
              <w:drawing>
                <wp:inline distT="0" distB="0" distL="0" distR="0">
                  <wp:extent cx="5486400" cy="3242310"/>
                  <wp:effectExtent l="19050" t="19050" r="1905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9"/>
                          <a:stretch>
                            <a:fillRect/>
                          </a:stretch>
                        </pic:blipFill>
                        <pic:spPr>
                          <a:xfrm>
                            <a:off x="0" y="0"/>
                            <a:ext cx="5486400" cy="3242930"/>
                          </a:xfrm>
                          <a:prstGeom prst="rect">
                            <a:avLst/>
                          </a:prstGeom>
                          <a:ln>
                            <a:solidFill>
                              <a:schemeClr val="tx1"/>
                            </a:solidFill>
                          </a:ln>
                        </pic:spPr>
                      </pic:pic>
                    </a:graphicData>
                  </a:graphic>
                </wp:inline>
              </w:drawing>
            </w:r>
          </w:p>
          <w:p>
            <w:pPr>
              <w:pStyle w:val="44"/>
              <w:adjustRightInd/>
              <w:spacing w:before="156" w:beforeLines="50" w:line="300" w:lineRule="auto"/>
              <w:rPr>
                <w:szCs w:val="22"/>
                <w:u w:val="single"/>
                <w:lang w:val="zh-CN"/>
              </w:rPr>
            </w:pPr>
            <w:r>
              <w:rPr>
                <w:rFonts w:hint="eastAsia"/>
                <w:szCs w:val="22"/>
                <w:u w:val="single"/>
                <w:lang w:val="zh-CN"/>
              </w:rPr>
              <w:t>图7-4</w:t>
            </w:r>
            <w:r>
              <w:rPr>
                <w:szCs w:val="22"/>
                <w:u w:val="single"/>
                <w:lang w:val="zh-CN"/>
              </w:rPr>
              <w:t xml:space="preserve">  </w:t>
            </w:r>
            <w:r>
              <w:rPr>
                <w:rFonts w:hint="eastAsia"/>
                <w:szCs w:val="22"/>
                <w:u w:val="single"/>
                <w:lang w:val="zh-CN"/>
              </w:rPr>
              <w:t>卫生防护距离（颗粒物）计算结果截图</w:t>
            </w:r>
          </w:p>
          <w:p>
            <w:pPr>
              <w:spacing w:line="360" w:lineRule="auto"/>
              <w:ind w:firstLine="480" w:firstLineChars="200"/>
              <w:rPr>
                <w:rFonts w:ascii="Times New Roman" w:hAnsi="Times New Roman" w:eastAsia="宋体" w:cs="Times New Roman"/>
                <w:kern w:val="0"/>
                <w:sz w:val="24"/>
                <w:u w:val="single"/>
              </w:rPr>
            </w:pPr>
            <w:r>
              <w:rPr>
                <w:rFonts w:ascii="Times New Roman" w:hAnsi="Times New Roman" w:eastAsia="宋体" w:cs="Times New Roman"/>
                <w:kern w:val="0"/>
                <w:sz w:val="24"/>
                <w:u w:val="single"/>
              </w:rPr>
              <w:t>根据GB/T 3840-1991中7.3</w:t>
            </w:r>
            <w:r>
              <w:rPr>
                <w:rFonts w:hint="eastAsia" w:ascii="Times New Roman" w:hAnsi="Times New Roman" w:eastAsia="宋体" w:cs="Times New Roman"/>
                <w:kern w:val="0"/>
                <w:sz w:val="24"/>
                <w:u w:val="single"/>
              </w:rPr>
              <w:t>和7.5</w:t>
            </w:r>
            <w:r>
              <w:rPr>
                <w:rFonts w:ascii="Times New Roman" w:hAnsi="Times New Roman" w:eastAsia="宋体" w:cs="Times New Roman"/>
                <w:kern w:val="0"/>
                <w:sz w:val="24"/>
                <w:u w:val="single"/>
              </w:rPr>
              <w:t>规定，卫生防护距离小于50米时，按50米计。</w:t>
            </w:r>
            <w:r>
              <w:rPr>
                <w:rFonts w:hint="eastAsia" w:ascii="Times New Roman" w:hAnsi="Times New Roman" w:eastAsia="宋体" w:cs="Times New Roman"/>
                <w:kern w:val="0"/>
                <w:sz w:val="24"/>
                <w:u w:val="single"/>
              </w:rPr>
              <w:t>因此</w:t>
            </w:r>
            <w:r>
              <w:rPr>
                <w:rFonts w:ascii="Times New Roman" w:hAnsi="Times New Roman" w:eastAsia="宋体" w:cs="Times New Roman"/>
                <w:kern w:val="0"/>
                <w:sz w:val="24"/>
                <w:u w:val="single"/>
              </w:rPr>
              <w:t>，</w:t>
            </w:r>
            <w:r>
              <w:rPr>
                <w:rFonts w:hint="eastAsia" w:ascii="Times New Roman" w:hAnsi="Times New Roman" w:eastAsia="宋体" w:cs="Times New Roman"/>
                <w:kern w:val="0"/>
                <w:sz w:val="24"/>
                <w:u w:val="single"/>
              </w:rPr>
              <w:t>项目</w:t>
            </w:r>
            <w:r>
              <w:rPr>
                <w:rFonts w:ascii="Times New Roman" w:hAnsi="Times New Roman" w:eastAsia="宋体" w:cs="Times New Roman"/>
                <w:kern w:val="0"/>
                <w:sz w:val="24"/>
                <w:u w:val="single"/>
              </w:rPr>
              <w:t>的卫生防护距离设定以本项目车间场界分别外扩</w:t>
            </w:r>
            <w:r>
              <w:rPr>
                <w:rFonts w:hint="eastAsia" w:ascii="Times New Roman" w:hAnsi="Times New Roman" w:eastAsia="宋体" w:cs="Times New Roman"/>
                <w:kern w:val="0"/>
                <w:sz w:val="24"/>
                <w:u w:val="single"/>
              </w:rPr>
              <w:t>50</w:t>
            </w:r>
            <w:r>
              <w:rPr>
                <w:rFonts w:ascii="Times New Roman" w:hAnsi="Times New Roman" w:eastAsia="宋体" w:cs="Times New Roman"/>
                <w:kern w:val="0"/>
                <w:sz w:val="24"/>
                <w:u w:val="single"/>
              </w:rPr>
              <w:t>m所形成的包络线，详见附图</w:t>
            </w:r>
            <w:r>
              <w:rPr>
                <w:rFonts w:hint="eastAsia" w:ascii="Times New Roman" w:hAnsi="Times New Roman" w:eastAsia="宋体" w:cs="Times New Roman"/>
                <w:kern w:val="0"/>
                <w:sz w:val="24"/>
                <w:u w:val="single"/>
              </w:rPr>
              <w:t>5</w:t>
            </w:r>
            <w:r>
              <w:rPr>
                <w:rFonts w:ascii="Times New Roman" w:hAnsi="Times New Roman" w:eastAsia="宋体" w:cs="Times New Roman"/>
                <w:kern w:val="0"/>
                <w:sz w:val="24"/>
                <w:u w:val="single"/>
              </w:rPr>
              <w:t>。</w:t>
            </w:r>
          </w:p>
          <w:p>
            <w:pPr>
              <w:spacing w:line="360" w:lineRule="auto"/>
              <w:ind w:firstLine="480" w:firstLineChars="200"/>
              <w:rPr>
                <w:rFonts w:ascii="Times New Roman" w:hAnsi="Times New Roman" w:eastAsia="宋体" w:cs="Times New Roman"/>
                <w:kern w:val="0"/>
                <w:sz w:val="24"/>
                <w:u w:val="single"/>
              </w:rPr>
            </w:pPr>
            <w:r>
              <w:rPr>
                <w:rFonts w:hint="eastAsia" w:ascii="Times New Roman" w:hAnsi="Times New Roman" w:eastAsia="宋体" w:cs="Times New Roman"/>
                <w:kern w:val="0"/>
                <w:sz w:val="24"/>
                <w:u w:val="single"/>
              </w:rPr>
              <w:t>根据现场踏勘，目前本项目拟建地周边50m卫生防护距离内无敏感目标分布。今后在卫生防护距离内，不应新建学校、住宅等环境敏感目标，周边新建项目在与建设项目的距离上应满足安全距离、卫生防护距离、建设间距等各类要求。</w:t>
            </w:r>
          </w:p>
          <w:p>
            <w:pPr>
              <w:spacing w:line="360" w:lineRule="auto"/>
              <w:ind w:firstLine="482" w:firstLineChars="200"/>
              <w:rPr>
                <w:rFonts w:ascii="Times New Roman" w:hAnsi="Times New Roman" w:eastAsia="宋体" w:cs="Times New Roman"/>
                <w:b/>
                <w:kern w:val="0"/>
                <w:sz w:val="24"/>
              </w:rPr>
            </w:pPr>
            <w:r>
              <w:rPr>
                <w:rFonts w:hint="eastAsia" w:ascii="Times New Roman" w:hAnsi="Times New Roman" w:eastAsia="宋体" w:cs="Times New Roman"/>
                <w:b/>
                <w:kern w:val="0"/>
                <w:sz w:val="24"/>
              </w:rPr>
              <w:t>（5）其他废气影响分析</w:t>
            </w:r>
          </w:p>
          <w:p>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项目</w:t>
            </w:r>
            <w:r>
              <w:rPr>
                <w:rFonts w:hint="eastAsia" w:ascii="Times New Roman" w:hAnsi="Times New Roman" w:eastAsia="宋体" w:cs="Times New Roman"/>
                <w:kern w:val="0"/>
                <w:sz w:val="24"/>
              </w:rPr>
              <w:t>营运期物料运输车辆</w:t>
            </w:r>
            <w:r>
              <w:rPr>
                <w:rFonts w:ascii="Times New Roman" w:hAnsi="Times New Roman" w:eastAsia="宋体" w:cs="Times New Roman"/>
                <w:kern w:val="0"/>
                <w:sz w:val="24"/>
              </w:rPr>
              <w:t>使用柴油作为燃料，</w:t>
            </w:r>
            <w:r>
              <w:rPr>
                <w:rFonts w:hint="eastAsia" w:ascii="Times New Roman" w:hAnsi="Times New Roman" w:eastAsia="宋体" w:cs="Times New Roman"/>
                <w:kern w:val="0"/>
                <w:sz w:val="24"/>
              </w:rPr>
              <w:t>产生的</w:t>
            </w:r>
            <w:r>
              <w:rPr>
                <w:rFonts w:ascii="Times New Roman" w:hAnsi="Times New Roman" w:eastAsia="宋体" w:cs="Times New Roman"/>
                <w:kern w:val="0"/>
                <w:sz w:val="24"/>
              </w:rPr>
              <w:t>污染物</w:t>
            </w:r>
            <w:r>
              <w:rPr>
                <w:rFonts w:hint="eastAsia" w:ascii="Times New Roman" w:hAnsi="Times New Roman" w:eastAsia="宋体" w:cs="Times New Roman"/>
                <w:kern w:val="0"/>
                <w:sz w:val="24"/>
              </w:rPr>
              <w:t>主要为</w:t>
            </w:r>
            <w:r>
              <w:rPr>
                <w:rFonts w:ascii="Times New Roman" w:hAnsi="Times New Roman" w:eastAsia="宋体" w:cs="Times New Roman"/>
                <w:kern w:val="0"/>
                <w:sz w:val="24"/>
              </w:rPr>
              <w:t>SO</w:t>
            </w:r>
            <w:r>
              <w:rPr>
                <w:rFonts w:ascii="Times New Roman" w:hAnsi="Times New Roman" w:eastAsia="宋体" w:cs="Times New Roman"/>
                <w:kern w:val="0"/>
                <w:sz w:val="24"/>
                <w:vertAlign w:val="subscript"/>
              </w:rPr>
              <w:t>2</w:t>
            </w:r>
            <w:r>
              <w:rPr>
                <w:rFonts w:ascii="Times New Roman" w:hAnsi="Times New Roman" w:eastAsia="宋体" w:cs="Times New Roman"/>
                <w:kern w:val="0"/>
                <w:sz w:val="24"/>
              </w:rPr>
              <w:t>、CO、NO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、THC，均以无组织形式排放。</w:t>
            </w:r>
            <w:r>
              <w:rPr>
                <w:rFonts w:hint="eastAsia" w:ascii="Times New Roman" w:hAnsi="Times New Roman" w:eastAsia="宋体" w:cs="Times New Roman"/>
                <w:kern w:val="0"/>
                <w:sz w:val="24"/>
              </w:rPr>
              <w:t>汽车废气</w:t>
            </w:r>
            <w:r>
              <w:rPr>
                <w:rFonts w:ascii="Times New Roman" w:hAnsi="Times New Roman" w:eastAsia="宋体" w:cs="Times New Roman"/>
                <w:kern w:val="0"/>
                <w:sz w:val="24"/>
              </w:rPr>
              <w:t>在空旷条件下很容易扩散。项目</w:t>
            </w:r>
            <w:r>
              <w:rPr>
                <w:rFonts w:hint="eastAsia" w:ascii="Times New Roman" w:hAnsi="Times New Roman" w:eastAsia="宋体" w:cs="Times New Roman"/>
                <w:kern w:val="0"/>
                <w:sz w:val="24"/>
              </w:rPr>
              <w:t>厂区通风较好，燃油废气容易扩散，厂界处</w:t>
            </w:r>
            <w:r>
              <w:rPr>
                <w:rFonts w:ascii="Times New Roman" w:hAnsi="Times New Roman" w:eastAsia="宋体" w:cs="Times New Roman"/>
                <w:kern w:val="0"/>
                <w:sz w:val="24"/>
              </w:rPr>
              <w:t>燃油废气排放浓度可达到《大气污染物综合排放标准》（GB16297-1996）表2中新污染源大气污染物无组织排放监控浓度限值要求，对周边环境影响不大。</w:t>
            </w:r>
          </w:p>
          <w:p>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本项目大气环境影响评价自查表详见本报告附表1。</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7.2.3营运期</w:t>
            </w:r>
            <w:r>
              <w:rPr>
                <w:rFonts w:ascii="Times New Roman" w:hAnsi="Times New Roman" w:cs="Times New Roman"/>
                <w:b/>
                <w:sz w:val="24"/>
              </w:rPr>
              <w:t>噪声环境影响分析</w:t>
            </w:r>
          </w:p>
          <w:p>
            <w:pPr>
              <w:spacing w:line="360" w:lineRule="auto"/>
              <w:ind w:firstLine="482" w:firstLineChars="200"/>
              <w:rPr>
                <w:rFonts w:ascii="Times New Roman" w:hAnsi="Times New Roman" w:eastAsia="宋体" w:cs="Times New Roman"/>
                <w:b/>
                <w:kern w:val="0"/>
                <w:sz w:val="24"/>
              </w:rPr>
            </w:pPr>
            <w:r>
              <w:rPr>
                <w:rFonts w:hint="eastAsia" w:ascii="Times New Roman" w:hAnsi="Times New Roman" w:eastAsia="宋体" w:cs="Times New Roman"/>
                <w:b/>
                <w:kern w:val="0"/>
                <w:sz w:val="24"/>
              </w:rPr>
              <w:t>（1）场地设备噪声影响分析</w:t>
            </w:r>
          </w:p>
          <w:p>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①场地设备噪声源强情况</w:t>
            </w:r>
          </w:p>
          <w:p>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项目进入营运期后，生产厂区的噪声主要来源于切割机、磨边机、破碎机、振动筛等各类生产设备，噪声强度在70~114dB(A)。本项目生产设备均布置在车间内，通过合理布局，减振隔声</w:t>
            </w:r>
            <w:r>
              <w:rPr>
                <w:rFonts w:ascii="Times New Roman" w:hAnsi="Times New Roman" w:eastAsia="宋体" w:cs="Times New Roman"/>
                <w:kern w:val="0"/>
                <w:sz w:val="24"/>
              </w:rPr>
              <w:t>和距离衰减</w:t>
            </w:r>
            <w:r>
              <w:rPr>
                <w:rFonts w:hint="eastAsia" w:ascii="Times New Roman" w:hAnsi="Times New Roman" w:eastAsia="宋体" w:cs="Times New Roman"/>
                <w:kern w:val="0"/>
                <w:sz w:val="24"/>
              </w:rPr>
              <w:t>等措施，可有效降低噪声对周边环境的影响。</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②营运期厂区设备噪声预测</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在噪声预测中各噪声源作为点声源处理，根据《环境影响评价技术导则 声环境》（</w:t>
            </w:r>
            <w:r>
              <w:rPr>
                <w:rFonts w:ascii="Times New Roman" w:hAnsi="Times New Roman" w:cs="Times New Roman"/>
                <w:color w:val="auto"/>
                <w:kern w:val="0"/>
              </w:rPr>
              <w:t>HJ 2.4-2009</w:t>
            </w:r>
            <w:r>
              <w:rPr>
                <w:rFonts w:hint="eastAsia" w:ascii="Times New Roman" w:hAnsi="Times New Roman" w:cs="Times New Roman"/>
                <w:color w:val="auto"/>
                <w:kern w:val="0"/>
              </w:rPr>
              <w:t>），点声源的几何发散衰减公式为</w:t>
            </w:r>
            <w:r>
              <w:rPr>
                <w:rFonts w:ascii="Times New Roman" w:hAnsi="Times New Roman" w:cs="Times New Roman"/>
                <w:color w:val="auto"/>
                <w:kern w:val="0"/>
                <w:position w:val="-32"/>
              </w:rPr>
              <w:object>
                <v:shape id="_x0000_i1047" o:spt="75" type="#_x0000_t75" style="height:38pt;width:135pt;" o:ole="t" filled="f" o:preferrelative="t" stroked="f" coordsize="21600,21600">
                  <v:path/>
                  <v:fill on="f" focussize="0,0"/>
                  <v:stroke on="f" joinstyle="miter"/>
                  <v:imagedata r:id="rId39" o:title=""/>
                  <o:lock v:ext="edit" aspectratio="t"/>
                  <w10:wrap type="none"/>
                  <w10:anchorlock/>
                </v:shape>
                <o:OLEObject Type="Embed" ProgID="Equation.DSMT4" ShapeID="_x0000_i1047" DrawAspect="Content" ObjectID="_1468075743" r:id="rId50">
                  <o:LockedField>false</o:LockedField>
                </o:OLEObject>
              </w:object>
            </w:r>
            <w:r>
              <w:rPr>
                <w:rFonts w:hint="eastAsia" w:ascii="Times New Roman" w:hAnsi="Times New Roman" w:cs="Times New Roman"/>
                <w:color w:val="auto"/>
                <w:kern w:val="0"/>
              </w:rPr>
              <w:t>，式中</w:t>
            </w:r>
            <w:r>
              <w:rPr>
                <w:rFonts w:ascii="Times New Roman" w:hAnsi="Times New Roman" w:cs="Times New Roman"/>
                <w:color w:val="auto"/>
                <w:kern w:val="0"/>
                <w:position w:val="-14"/>
              </w:rPr>
              <w:object>
                <v:shape id="_x0000_i1048" o:spt="75" type="#_x0000_t75" style="height:20pt;width:31.95pt;" o:ole="t" filled="f" o:preferrelative="t" stroked="f" coordsize="21600,21600">
                  <v:path/>
                  <v:fill on="f" focussize="0,0"/>
                  <v:stroke on="f" joinstyle="miter"/>
                  <v:imagedata r:id="rId41" o:title=""/>
                  <o:lock v:ext="edit" aspectratio="t"/>
                  <w10:wrap type="none"/>
                  <w10:anchorlock/>
                </v:shape>
                <o:OLEObject Type="Embed" ProgID="Equation.DSMT4" ShapeID="_x0000_i1048" DrawAspect="Content" ObjectID="_1468075744" r:id="rId51">
                  <o:LockedField>false</o:LockedField>
                </o:OLEObject>
              </w:object>
            </w:r>
            <w:r>
              <w:rPr>
                <w:rFonts w:hint="eastAsia" w:ascii="Times New Roman" w:hAnsi="Times New Roman" w:cs="Times New Roman"/>
                <w:color w:val="auto"/>
                <w:kern w:val="0"/>
              </w:rPr>
              <w:t>为评价点噪声预测值，r为与声源距离。</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根据上述噪声衰减模式，同时考虑设备数量和距离，本项目设备噪声与预测点的距离和噪声贡献值预测情况如下：</w:t>
            </w:r>
          </w:p>
          <w:p>
            <w:pPr>
              <w:spacing w:before="156" w:beforeLines="50"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14</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各噪声设备距离厂界及敏感点距离</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9"/>
              <w:gridCol w:w="1134"/>
              <w:gridCol w:w="850"/>
              <w:gridCol w:w="851"/>
              <w:gridCol w:w="709"/>
              <w:gridCol w:w="850"/>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声源设备</w:t>
                  </w:r>
                </w:p>
              </w:tc>
              <w:tc>
                <w:tcPr>
                  <w:tcW w:w="709" w:type="dxa"/>
                  <w:vMerge w:val="restart"/>
                  <w:vAlign w:val="center"/>
                </w:tcPr>
                <w:p>
                  <w:pPr>
                    <w:jc w:val="center"/>
                    <w:rPr>
                      <w:rFonts w:ascii="Times New Roman" w:hAnsi="Times New Roman" w:cs="Times New Roman"/>
                      <w:b/>
                      <w:bCs/>
                      <w:szCs w:val="21"/>
                    </w:rPr>
                  </w:pPr>
                  <w:r>
                    <w:rPr>
                      <w:rFonts w:ascii="Times New Roman" w:hAnsi="Times New Roman" w:cs="Times New Roman"/>
                      <w:b/>
                      <w:bCs/>
                      <w:szCs w:val="21"/>
                    </w:rPr>
                    <w:t>数量</w:t>
                  </w:r>
                </w:p>
              </w:tc>
              <w:tc>
                <w:tcPr>
                  <w:tcW w:w="1134" w:type="dxa"/>
                  <w:vMerge w:val="restart"/>
                  <w:vAlign w:val="center"/>
                </w:tcPr>
                <w:p>
                  <w:pPr>
                    <w:jc w:val="center"/>
                    <w:rPr>
                      <w:rFonts w:ascii="Times New Roman" w:hAnsi="Times New Roman" w:cs="Times New Roman"/>
                      <w:b/>
                      <w:bCs/>
                      <w:szCs w:val="21"/>
                    </w:rPr>
                  </w:pPr>
                  <w:r>
                    <w:rPr>
                      <w:rFonts w:hint="eastAsia" w:ascii="Times New Roman" w:hAnsi="Times New Roman" w:cs="Times New Roman"/>
                      <w:b/>
                      <w:bCs/>
                      <w:szCs w:val="21"/>
                    </w:rPr>
                    <w:t>单台设备噪声源强[dB(A)]</w:t>
                  </w:r>
                </w:p>
              </w:tc>
              <w:tc>
                <w:tcPr>
                  <w:tcW w:w="5812" w:type="dxa"/>
                  <w:gridSpan w:val="6"/>
                  <w:vAlign w:val="center"/>
                </w:tcPr>
                <w:p>
                  <w:pPr>
                    <w:jc w:val="center"/>
                    <w:rPr>
                      <w:rFonts w:ascii="Times New Roman" w:hAnsi="Times New Roman" w:cs="Times New Roman"/>
                      <w:b/>
                      <w:bCs/>
                      <w:szCs w:val="21"/>
                    </w:rPr>
                  </w:pPr>
                  <w:r>
                    <w:rPr>
                      <w:rFonts w:ascii="Times New Roman" w:hAnsi="Times New Roman" w:cs="Times New Roman"/>
                      <w:b/>
                      <w:bCs/>
                      <w:szCs w:val="21"/>
                    </w:rPr>
                    <w:t>声源与</w:t>
                  </w:r>
                  <w:r>
                    <w:rPr>
                      <w:rFonts w:hint="eastAsia" w:ascii="Times New Roman" w:hAnsi="Times New Roman" w:cs="Times New Roman"/>
                      <w:b/>
                      <w:bCs/>
                      <w:szCs w:val="21"/>
                    </w:rPr>
                    <w:t>厂界</w:t>
                  </w:r>
                  <w:r>
                    <w:rPr>
                      <w:rFonts w:ascii="Times New Roman" w:hAnsi="Times New Roman" w:cs="Times New Roman"/>
                      <w:b/>
                      <w:bCs/>
                      <w:szCs w:val="21"/>
                    </w:rPr>
                    <w:t>及敏感点的距离（m）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Merge w:val="continue"/>
                  <w:vAlign w:val="center"/>
                </w:tcPr>
                <w:p>
                  <w:pPr>
                    <w:jc w:val="center"/>
                    <w:rPr>
                      <w:rFonts w:ascii="Times New Roman" w:hAnsi="Times New Roman" w:cs="Times New Roman"/>
                      <w:b/>
                      <w:bCs/>
                      <w:szCs w:val="21"/>
                    </w:rPr>
                  </w:pPr>
                </w:p>
              </w:tc>
              <w:tc>
                <w:tcPr>
                  <w:tcW w:w="709" w:type="dxa"/>
                  <w:vMerge w:val="continue"/>
                  <w:vAlign w:val="center"/>
                </w:tcPr>
                <w:p>
                  <w:pPr>
                    <w:jc w:val="center"/>
                    <w:rPr>
                      <w:rFonts w:ascii="Times New Roman" w:hAnsi="Times New Roman" w:cs="Times New Roman"/>
                      <w:b/>
                      <w:bCs/>
                      <w:szCs w:val="21"/>
                    </w:rPr>
                  </w:pPr>
                </w:p>
              </w:tc>
              <w:tc>
                <w:tcPr>
                  <w:tcW w:w="1134" w:type="dxa"/>
                  <w:vMerge w:val="continue"/>
                  <w:vAlign w:val="center"/>
                </w:tcPr>
                <w:p>
                  <w:pPr>
                    <w:jc w:val="center"/>
                    <w:rPr>
                      <w:rFonts w:ascii="Times New Roman" w:hAnsi="Times New Roman" w:cs="Times New Roman"/>
                      <w:b/>
                      <w:bCs/>
                      <w:szCs w:val="21"/>
                    </w:rPr>
                  </w:pPr>
                </w:p>
              </w:tc>
              <w:tc>
                <w:tcPr>
                  <w:tcW w:w="850" w:type="dxa"/>
                  <w:vAlign w:val="center"/>
                </w:tcPr>
                <w:p>
                  <w:pPr>
                    <w:jc w:val="center"/>
                    <w:rPr>
                      <w:rFonts w:ascii="Times New Roman" w:hAnsi="Times New Roman" w:cs="Times New Roman"/>
                      <w:b/>
                      <w:bCs/>
                      <w:szCs w:val="21"/>
                    </w:rPr>
                  </w:pPr>
                  <w:r>
                    <w:rPr>
                      <w:rFonts w:ascii="Times New Roman" w:hAnsi="Times New Roman" w:cs="Times New Roman"/>
                      <w:b/>
                      <w:bCs/>
                      <w:szCs w:val="21"/>
                    </w:rPr>
                    <w:t>东</w:t>
                  </w:r>
                  <w:r>
                    <w:rPr>
                      <w:rFonts w:hint="eastAsia" w:ascii="Times New Roman" w:hAnsi="Times New Roman" w:cs="Times New Roman"/>
                      <w:b/>
                      <w:bCs/>
                      <w:szCs w:val="21"/>
                    </w:rPr>
                    <w:t>厂</w:t>
                  </w:r>
                  <w:r>
                    <w:rPr>
                      <w:rFonts w:ascii="Times New Roman" w:hAnsi="Times New Roman" w:cs="Times New Roman"/>
                      <w:b/>
                      <w:bCs/>
                      <w:szCs w:val="21"/>
                    </w:rPr>
                    <w:t>界</w:t>
                  </w:r>
                </w:p>
              </w:tc>
              <w:tc>
                <w:tcPr>
                  <w:tcW w:w="851" w:type="dxa"/>
                  <w:vAlign w:val="center"/>
                </w:tcPr>
                <w:p>
                  <w:pPr>
                    <w:jc w:val="center"/>
                    <w:rPr>
                      <w:rFonts w:ascii="Times New Roman" w:hAnsi="Times New Roman" w:cs="Times New Roman"/>
                      <w:b/>
                      <w:bCs/>
                      <w:szCs w:val="21"/>
                    </w:rPr>
                  </w:pPr>
                  <w:r>
                    <w:rPr>
                      <w:rFonts w:ascii="Times New Roman" w:hAnsi="Times New Roman" w:cs="Times New Roman"/>
                      <w:b/>
                      <w:bCs/>
                      <w:szCs w:val="21"/>
                    </w:rPr>
                    <w:t>西</w:t>
                  </w:r>
                  <w:r>
                    <w:rPr>
                      <w:rFonts w:hint="eastAsia" w:ascii="Times New Roman" w:hAnsi="Times New Roman" w:cs="Times New Roman"/>
                      <w:b/>
                      <w:bCs/>
                      <w:szCs w:val="21"/>
                    </w:rPr>
                    <w:t>厂</w:t>
                  </w:r>
                  <w:r>
                    <w:rPr>
                      <w:rFonts w:ascii="Times New Roman" w:hAnsi="Times New Roman" w:cs="Times New Roman"/>
                      <w:b/>
                      <w:bCs/>
                      <w:szCs w:val="21"/>
                    </w:rPr>
                    <w:t>界</w:t>
                  </w:r>
                </w:p>
              </w:tc>
              <w:tc>
                <w:tcPr>
                  <w:tcW w:w="709" w:type="dxa"/>
                  <w:vAlign w:val="center"/>
                </w:tcPr>
                <w:p>
                  <w:pPr>
                    <w:jc w:val="center"/>
                    <w:rPr>
                      <w:rFonts w:ascii="Times New Roman" w:hAnsi="Times New Roman" w:cs="Times New Roman"/>
                      <w:b/>
                      <w:bCs/>
                      <w:szCs w:val="21"/>
                    </w:rPr>
                  </w:pPr>
                  <w:r>
                    <w:rPr>
                      <w:rFonts w:ascii="Times New Roman" w:hAnsi="Times New Roman" w:cs="Times New Roman"/>
                      <w:b/>
                      <w:bCs/>
                      <w:szCs w:val="21"/>
                    </w:rPr>
                    <w:t>南</w:t>
                  </w:r>
                  <w:r>
                    <w:rPr>
                      <w:rFonts w:hint="eastAsia" w:ascii="Times New Roman" w:hAnsi="Times New Roman" w:cs="Times New Roman"/>
                      <w:b/>
                      <w:bCs/>
                      <w:szCs w:val="21"/>
                    </w:rPr>
                    <w:t>厂</w:t>
                  </w:r>
                  <w:r>
                    <w:rPr>
                      <w:rFonts w:ascii="Times New Roman" w:hAnsi="Times New Roman" w:cs="Times New Roman"/>
                      <w:b/>
                      <w:bCs/>
                      <w:szCs w:val="21"/>
                    </w:rPr>
                    <w:t>界</w:t>
                  </w:r>
                </w:p>
              </w:tc>
              <w:tc>
                <w:tcPr>
                  <w:tcW w:w="850" w:type="dxa"/>
                  <w:vAlign w:val="center"/>
                </w:tcPr>
                <w:p>
                  <w:pPr>
                    <w:jc w:val="center"/>
                    <w:rPr>
                      <w:rFonts w:ascii="Times New Roman" w:hAnsi="Times New Roman" w:cs="Times New Roman"/>
                      <w:b/>
                      <w:bCs/>
                      <w:szCs w:val="21"/>
                    </w:rPr>
                  </w:pPr>
                  <w:r>
                    <w:rPr>
                      <w:rFonts w:ascii="Times New Roman" w:hAnsi="Times New Roman" w:cs="Times New Roman"/>
                      <w:b/>
                      <w:bCs/>
                      <w:szCs w:val="21"/>
                    </w:rPr>
                    <w:t>北</w:t>
                  </w:r>
                  <w:r>
                    <w:rPr>
                      <w:rFonts w:hint="eastAsia" w:ascii="Times New Roman" w:hAnsi="Times New Roman" w:cs="Times New Roman"/>
                      <w:b/>
                      <w:bCs/>
                      <w:szCs w:val="21"/>
                    </w:rPr>
                    <w:t>厂</w:t>
                  </w:r>
                  <w:r>
                    <w:rPr>
                      <w:rFonts w:ascii="Times New Roman" w:hAnsi="Times New Roman" w:cs="Times New Roman"/>
                      <w:b/>
                      <w:bCs/>
                      <w:szCs w:val="21"/>
                    </w:rPr>
                    <w:t>界</w:t>
                  </w:r>
                </w:p>
              </w:tc>
              <w:tc>
                <w:tcPr>
                  <w:tcW w:w="1276" w:type="dxa"/>
                  <w:vAlign w:val="center"/>
                </w:tcPr>
                <w:p>
                  <w:pPr>
                    <w:jc w:val="center"/>
                    <w:rPr>
                      <w:rFonts w:ascii="Times New Roman" w:hAnsi="Times New Roman" w:cs="Times New Roman"/>
                      <w:b/>
                      <w:bCs/>
                      <w:szCs w:val="21"/>
                    </w:rPr>
                  </w:pPr>
                  <w:r>
                    <w:rPr>
                      <w:rFonts w:hint="eastAsia" w:ascii="Times New Roman" w:hAnsi="Times New Roman" w:cs="Times New Roman"/>
                      <w:b/>
                      <w:bCs/>
                      <w:szCs w:val="21"/>
                    </w:rPr>
                    <w:t>厂区北侧80m处堂冲垇居民点</w:t>
                  </w:r>
                </w:p>
              </w:tc>
              <w:tc>
                <w:tcPr>
                  <w:tcW w:w="1276" w:type="dxa"/>
                  <w:vAlign w:val="center"/>
                </w:tcPr>
                <w:p>
                  <w:pPr>
                    <w:jc w:val="center"/>
                    <w:rPr>
                      <w:rFonts w:ascii="Times New Roman" w:hAnsi="Times New Roman" w:cs="Times New Roman"/>
                      <w:b/>
                      <w:bCs/>
                      <w:szCs w:val="21"/>
                    </w:rPr>
                  </w:pPr>
                  <w:r>
                    <w:rPr>
                      <w:rFonts w:hint="eastAsia" w:ascii="Times New Roman" w:hAnsi="Times New Roman" w:cs="Times New Roman"/>
                      <w:b/>
                      <w:bCs/>
                      <w:szCs w:val="21"/>
                    </w:rPr>
                    <w:t>厂区南侧140m处堂冲垇居民点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龙门切割机</w:t>
                  </w:r>
                </w:p>
              </w:tc>
              <w:tc>
                <w:tcPr>
                  <w:tcW w:w="709" w:type="dxa"/>
                  <w:vAlign w:val="center"/>
                </w:tcPr>
                <w:p>
                  <w:pPr>
                    <w:pStyle w:val="52"/>
                    <w:jc w:val="center"/>
                    <w:rPr>
                      <w:sz w:val="21"/>
                      <w:szCs w:val="21"/>
                    </w:rPr>
                  </w:pPr>
                  <w:r>
                    <w:rPr>
                      <w:rFonts w:hint="eastAsia"/>
                      <w:sz w:val="21"/>
                      <w:szCs w:val="21"/>
                    </w:rPr>
                    <w:t>5</w:t>
                  </w:r>
                </w:p>
              </w:tc>
              <w:tc>
                <w:tcPr>
                  <w:tcW w:w="1134" w:type="dxa"/>
                  <w:vAlign w:val="center"/>
                </w:tcPr>
                <w:p>
                  <w:pPr>
                    <w:pStyle w:val="52"/>
                    <w:jc w:val="center"/>
                    <w:rPr>
                      <w:sz w:val="21"/>
                      <w:szCs w:val="21"/>
                    </w:rPr>
                  </w:pPr>
                  <w:r>
                    <w:rPr>
                      <w:rFonts w:hint="eastAsia"/>
                      <w:sz w:val="21"/>
                      <w:szCs w:val="21"/>
                    </w:rPr>
                    <w:t>100</w:t>
                  </w:r>
                </w:p>
              </w:tc>
              <w:tc>
                <w:tcPr>
                  <w:tcW w:w="850" w:type="dxa"/>
                  <w:vAlign w:val="center"/>
                </w:tcPr>
                <w:p>
                  <w:pPr>
                    <w:pStyle w:val="52"/>
                    <w:jc w:val="center"/>
                    <w:rPr>
                      <w:sz w:val="21"/>
                      <w:szCs w:val="21"/>
                    </w:rPr>
                  </w:pPr>
                  <w:r>
                    <w:rPr>
                      <w:rFonts w:hint="eastAsia"/>
                      <w:sz w:val="21"/>
                      <w:szCs w:val="21"/>
                    </w:rPr>
                    <w:t>98</w:t>
                  </w:r>
                </w:p>
              </w:tc>
              <w:tc>
                <w:tcPr>
                  <w:tcW w:w="851" w:type="dxa"/>
                  <w:vAlign w:val="center"/>
                </w:tcPr>
                <w:p>
                  <w:pPr>
                    <w:pStyle w:val="52"/>
                    <w:jc w:val="center"/>
                    <w:rPr>
                      <w:sz w:val="21"/>
                      <w:szCs w:val="21"/>
                    </w:rPr>
                  </w:pPr>
                  <w:r>
                    <w:rPr>
                      <w:rFonts w:hint="eastAsia"/>
                      <w:sz w:val="21"/>
                      <w:szCs w:val="21"/>
                    </w:rPr>
                    <w:t>46</w:t>
                  </w:r>
                </w:p>
              </w:tc>
              <w:tc>
                <w:tcPr>
                  <w:tcW w:w="709" w:type="dxa"/>
                  <w:vAlign w:val="center"/>
                </w:tcPr>
                <w:p>
                  <w:pPr>
                    <w:pStyle w:val="52"/>
                    <w:jc w:val="center"/>
                    <w:rPr>
                      <w:sz w:val="21"/>
                      <w:szCs w:val="21"/>
                    </w:rPr>
                  </w:pPr>
                  <w:r>
                    <w:rPr>
                      <w:rFonts w:hint="eastAsia"/>
                      <w:sz w:val="21"/>
                      <w:szCs w:val="21"/>
                    </w:rPr>
                    <w:t>67</w:t>
                  </w:r>
                </w:p>
              </w:tc>
              <w:tc>
                <w:tcPr>
                  <w:tcW w:w="850" w:type="dxa"/>
                  <w:vAlign w:val="center"/>
                </w:tcPr>
                <w:p>
                  <w:pPr>
                    <w:pStyle w:val="52"/>
                    <w:jc w:val="center"/>
                    <w:rPr>
                      <w:sz w:val="21"/>
                      <w:szCs w:val="21"/>
                    </w:rPr>
                  </w:pPr>
                  <w:r>
                    <w:rPr>
                      <w:rFonts w:hint="eastAsia"/>
                      <w:sz w:val="21"/>
                      <w:szCs w:val="21"/>
                    </w:rPr>
                    <w:t>20</w:t>
                  </w:r>
                </w:p>
              </w:tc>
              <w:tc>
                <w:tcPr>
                  <w:tcW w:w="1276" w:type="dxa"/>
                  <w:vAlign w:val="center"/>
                </w:tcPr>
                <w:p>
                  <w:pPr>
                    <w:pStyle w:val="52"/>
                    <w:jc w:val="center"/>
                    <w:rPr>
                      <w:sz w:val="21"/>
                      <w:szCs w:val="21"/>
                    </w:rPr>
                  </w:pPr>
                  <w:r>
                    <w:rPr>
                      <w:rFonts w:hint="eastAsia"/>
                      <w:sz w:val="21"/>
                      <w:szCs w:val="21"/>
                    </w:rPr>
                    <w:t>100</w:t>
                  </w:r>
                </w:p>
              </w:tc>
              <w:tc>
                <w:tcPr>
                  <w:tcW w:w="1276" w:type="dxa"/>
                  <w:vAlign w:val="center"/>
                </w:tcPr>
                <w:p>
                  <w:pPr>
                    <w:pStyle w:val="52"/>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红外切割机</w:t>
                  </w:r>
                </w:p>
              </w:tc>
              <w:tc>
                <w:tcPr>
                  <w:tcW w:w="709" w:type="dxa"/>
                  <w:vAlign w:val="center"/>
                </w:tcPr>
                <w:p>
                  <w:pPr>
                    <w:pStyle w:val="52"/>
                    <w:jc w:val="center"/>
                    <w:rPr>
                      <w:sz w:val="21"/>
                      <w:szCs w:val="21"/>
                    </w:rPr>
                  </w:pPr>
                  <w:r>
                    <w:rPr>
                      <w:rFonts w:hint="eastAsia"/>
                      <w:sz w:val="21"/>
                      <w:szCs w:val="21"/>
                    </w:rPr>
                    <w:t>3</w:t>
                  </w:r>
                </w:p>
              </w:tc>
              <w:tc>
                <w:tcPr>
                  <w:tcW w:w="1134" w:type="dxa"/>
                  <w:vAlign w:val="center"/>
                </w:tcPr>
                <w:p>
                  <w:pPr>
                    <w:pStyle w:val="52"/>
                    <w:jc w:val="center"/>
                    <w:rPr>
                      <w:sz w:val="21"/>
                      <w:szCs w:val="21"/>
                    </w:rPr>
                  </w:pPr>
                  <w:r>
                    <w:rPr>
                      <w:rFonts w:hint="eastAsia"/>
                      <w:sz w:val="21"/>
                      <w:szCs w:val="21"/>
                    </w:rPr>
                    <w:t>95</w:t>
                  </w:r>
                </w:p>
              </w:tc>
              <w:tc>
                <w:tcPr>
                  <w:tcW w:w="850" w:type="dxa"/>
                  <w:vAlign w:val="center"/>
                </w:tcPr>
                <w:p>
                  <w:pPr>
                    <w:pStyle w:val="52"/>
                    <w:jc w:val="center"/>
                    <w:rPr>
                      <w:sz w:val="21"/>
                      <w:szCs w:val="21"/>
                    </w:rPr>
                  </w:pPr>
                  <w:r>
                    <w:rPr>
                      <w:rFonts w:hint="eastAsia"/>
                      <w:sz w:val="21"/>
                      <w:szCs w:val="21"/>
                    </w:rPr>
                    <w:t>80</w:t>
                  </w:r>
                </w:p>
              </w:tc>
              <w:tc>
                <w:tcPr>
                  <w:tcW w:w="851" w:type="dxa"/>
                  <w:vAlign w:val="center"/>
                </w:tcPr>
                <w:p>
                  <w:pPr>
                    <w:pStyle w:val="52"/>
                    <w:jc w:val="center"/>
                    <w:rPr>
                      <w:sz w:val="21"/>
                      <w:szCs w:val="21"/>
                    </w:rPr>
                  </w:pPr>
                  <w:r>
                    <w:rPr>
                      <w:rFonts w:hint="eastAsia"/>
                      <w:sz w:val="21"/>
                      <w:szCs w:val="21"/>
                    </w:rPr>
                    <w:t>65</w:t>
                  </w:r>
                </w:p>
              </w:tc>
              <w:tc>
                <w:tcPr>
                  <w:tcW w:w="709" w:type="dxa"/>
                  <w:vAlign w:val="center"/>
                </w:tcPr>
                <w:p>
                  <w:pPr>
                    <w:pStyle w:val="52"/>
                    <w:jc w:val="center"/>
                    <w:rPr>
                      <w:sz w:val="21"/>
                      <w:szCs w:val="21"/>
                    </w:rPr>
                  </w:pPr>
                  <w:r>
                    <w:rPr>
                      <w:rFonts w:hint="eastAsia"/>
                      <w:sz w:val="21"/>
                      <w:szCs w:val="21"/>
                    </w:rPr>
                    <w:t>67</w:t>
                  </w:r>
                </w:p>
              </w:tc>
              <w:tc>
                <w:tcPr>
                  <w:tcW w:w="850" w:type="dxa"/>
                  <w:vAlign w:val="center"/>
                </w:tcPr>
                <w:p>
                  <w:pPr>
                    <w:pStyle w:val="52"/>
                    <w:jc w:val="center"/>
                    <w:rPr>
                      <w:sz w:val="21"/>
                      <w:szCs w:val="21"/>
                    </w:rPr>
                  </w:pPr>
                  <w:r>
                    <w:rPr>
                      <w:rFonts w:hint="eastAsia"/>
                      <w:sz w:val="21"/>
                      <w:szCs w:val="21"/>
                    </w:rPr>
                    <w:t>20</w:t>
                  </w:r>
                </w:p>
              </w:tc>
              <w:tc>
                <w:tcPr>
                  <w:tcW w:w="1276" w:type="dxa"/>
                  <w:vAlign w:val="center"/>
                </w:tcPr>
                <w:p>
                  <w:pPr>
                    <w:pStyle w:val="52"/>
                    <w:jc w:val="center"/>
                    <w:rPr>
                      <w:sz w:val="21"/>
                      <w:szCs w:val="21"/>
                    </w:rPr>
                  </w:pPr>
                  <w:r>
                    <w:rPr>
                      <w:rFonts w:hint="eastAsia"/>
                      <w:sz w:val="21"/>
                      <w:szCs w:val="21"/>
                    </w:rPr>
                    <w:t>100</w:t>
                  </w:r>
                </w:p>
              </w:tc>
              <w:tc>
                <w:tcPr>
                  <w:tcW w:w="1276" w:type="dxa"/>
                  <w:vAlign w:val="center"/>
                </w:tcPr>
                <w:p>
                  <w:pPr>
                    <w:pStyle w:val="52"/>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直曲磨边机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95</w:t>
                  </w:r>
                </w:p>
              </w:tc>
              <w:tc>
                <w:tcPr>
                  <w:tcW w:w="850" w:type="dxa"/>
                  <w:vAlign w:val="center"/>
                </w:tcPr>
                <w:p>
                  <w:pPr>
                    <w:pStyle w:val="52"/>
                    <w:jc w:val="center"/>
                    <w:rPr>
                      <w:sz w:val="21"/>
                      <w:szCs w:val="21"/>
                    </w:rPr>
                  </w:pPr>
                  <w:r>
                    <w:rPr>
                      <w:rFonts w:hint="eastAsia"/>
                      <w:sz w:val="21"/>
                      <w:szCs w:val="21"/>
                    </w:rPr>
                    <w:t>80</w:t>
                  </w:r>
                </w:p>
              </w:tc>
              <w:tc>
                <w:tcPr>
                  <w:tcW w:w="851" w:type="dxa"/>
                  <w:vAlign w:val="center"/>
                </w:tcPr>
                <w:p>
                  <w:pPr>
                    <w:pStyle w:val="52"/>
                    <w:jc w:val="center"/>
                    <w:rPr>
                      <w:sz w:val="21"/>
                      <w:szCs w:val="21"/>
                    </w:rPr>
                  </w:pPr>
                  <w:r>
                    <w:rPr>
                      <w:rFonts w:hint="eastAsia"/>
                      <w:sz w:val="21"/>
                      <w:szCs w:val="21"/>
                    </w:rPr>
                    <w:t>65</w:t>
                  </w:r>
                </w:p>
              </w:tc>
              <w:tc>
                <w:tcPr>
                  <w:tcW w:w="709" w:type="dxa"/>
                  <w:vAlign w:val="center"/>
                </w:tcPr>
                <w:p>
                  <w:pPr>
                    <w:pStyle w:val="52"/>
                    <w:jc w:val="center"/>
                    <w:rPr>
                      <w:sz w:val="21"/>
                      <w:szCs w:val="21"/>
                    </w:rPr>
                  </w:pPr>
                  <w:r>
                    <w:rPr>
                      <w:rFonts w:hint="eastAsia"/>
                      <w:sz w:val="21"/>
                      <w:szCs w:val="21"/>
                    </w:rPr>
                    <w:t>62</w:t>
                  </w:r>
                </w:p>
              </w:tc>
              <w:tc>
                <w:tcPr>
                  <w:tcW w:w="850" w:type="dxa"/>
                  <w:vAlign w:val="center"/>
                </w:tcPr>
                <w:p>
                  <w:pPr>
                    <w:pStyle w:val="52"/>
                    <w:jc w:val="center"/>
                    <w:rPr>
                      <w:sz w:val="21"/>
                      <w:szCs w:val="21"/>
                    </w:rPr>
                  </w:pPr>
                  <w:r>
                    <w:rPr>
                      <w:rFonts w:hint="eastAsia"/>
                      <w:sz w:val="21"/>
                      <w:szCs w:val="21"/>
                    </w:rPr>
                    <w:t>26</w:t>
                  </w:r>
                </w:p>
              </w:tc>
              <w:tc>
                <w:tcPr>
                  <w:tcW w:w="1276" w:type="dxa"/>
                  <w:vAlign w:val="center"/>
                </w:tcPr>
                <w:p>
                  <w:pPr>
                    <w:pStyle w:val="52"/>
                    <w:jc w:val="center"/>
                    <w:rPr>
                      <w:sz w:val="21"/>
                      <w:szCs w:val="21"/>
                    </w:rPr>
                  </w:pPr>
                  <w:r>
                    <w:rPr>
                      <w:rFonts w:hint="eastAsia"/>
                      <w:sz w:val="21"/>
                      <w:szCs w:val="21"/>
                    </w:rPr>
                    <w:t>108</w:t>
                  </w:r>
                </w:p>
              </w:tc>
              <w:tc>
                <w:tcPr>
                  <w:tcW w:w="1276" w:type="dxa"/>
                  <w:vAlign w:val="center"/>
                </w:tcPr>
                <w:p>
                  <w:pPr>
                    <w:pStyle w:val="52"/>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磨光机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90</w:t>
                  </w:r>
                </w:p>
              </w:tc>
              <w:tc>
                <w:tcPr>
                  <w:tcW w:w="850" w:type="dxa"/>
                  <w:vAlign w:val="center"/>
                </w:tcPr>
                <w:p>
                  <w:pPr>
                    <w:pStyle w:val="52"/>
                    <w:jc w:val="center"/>
                    <w:rPr>
                      <w:sz w:val="21"/>
                      <w:szCs w:val="21"/>
                    </w:rPr>
                  </w:pPr>
                  <w:r>
                    <w:rPr>
                      <w:rFonts w:hint="eastAsia"/>
                      <w:sz w:val="21"/>
                      <w:szCs w:val="21"/>
                    </w:rPr>
                    <w:t>73</w:t>
                  </w:r>
                </w:p>
              </w:tc>
              <w:tc>
                <w:tcPr>
                  <w:tcW w:w="851" w:type="dxa"/>
                  <w:vAlign w:val="center"/>
                </w:tcPr>
                <w:p>
                  <w:pPr>
                    <w:pStyle w:val="52"/>
                    <w:jc w:val="center"/>
                    <w:rPr>
                      <w:sz w:val="21"/>
                      <w:szCs w:val="21"/>
                    </w:rPr>
                  </w:pPr>
                  <w:r>
                    <w:rPr>
                      <w:rFonts w:hint="eastAsia"/>
                      <w:sz w:val="21"/>
                      <w:szCs w:val="21"/>
                    </w:rPr>
                    <w:t>70</w:t>
                  </w:r>
                </w:p>
              </w:tc>
              <w:tc>
                <w:tcPr>
                  <w:tcW w:w="709" w:type="dxa"/>
                  <w:vAlign w:val="center"/>
                </w:tcPr>
                <w:p>
                  <w:pPr>
                    <w:pStyle w:val="52"/>
                    <w:jc w:val="center"/>
                    <w:rPr>
                      <w:sz w:val="21"/>
                      <w:szCs w:val="21"/>
                    </w:rPr>
                  </w:pPr>
                  <w:r>
                    <w:rPr>
                      <w:rFonts w:hint="eastAsia"/>
                      <w:sz w:val="21"/>
                      <w:szCs w:val="21"/>
                    </w:rPr>
                    <w:t>64</w:t>
                  </w:r>
                </w:p>
              </w:tc>
              <w:tc>
                <w:tcPr>
                  <w:tcW w:w="850" w:type="dxa"/>
                  <w:vAlign w:val="center"/>
                </w:tcPr>
                <w:p>
                  <w:pPr>
                    <w:pStyle w:val="52"/>
                    <w:jc w:val="center"/>
                    <w:rPr>
                      <w:sz w:val="21"/>
                      <w:szCs w:val="21"/>
                    </w:rPr>
                  </w:pPr>
                  <w:r>
                    <w:rPr>
                      <w:rFonts w:hint="eastAsia"/>
                      <w:sz w:val="21"/>
                      <w:szCs w:val="21"/>
                    </w:rPr>
                    <w:t>25</w:t>
                  </w:r>
                </w:p>
              </w:tc>
              <w:tc>
                <w:tcPr>
                  <w:tcW w:w="1276" w:type="dxa"/>
                  <w:vAlign w:val="center"/>
                </w:tcPr>
                <w:p>
                  <w:pPr>
                    <w:pStyle w:val="52"/>
                    <w:jc w:val="center"/>
                    <w:rPr>
                      <w:sz w:val="21"/>
                      <w:szCs w:val="21"/>
                    </w:rPr>
                  </w:pPr>
                  <w:r>
                    <w:rPr>
                      <w:rFonts w:hint="eastAsia"/>
                      <w:sz w:val="21"/>
                      <w:szCs w:val="21"/>
                    </w:rPr>
                    <w:t>105</w:t>
                  </w:r>
                </w:p>
              </w:tc>
              <w:tc>
                <w:tcPr>
                  <w:tcW w:w="1276" w:type="dxa"/>
                  <w:vAlign w:val="center"/>
                </w:tcPr>
                <w:p>
                  <w:pPr>
                    <w:pStyle w:val="52"/>
                    <w:jc w:val="center"/>
                    <w:rPr>
                      <w:sz w:val="21"/>
                      <w:szCs w:val="21"/>
                    </w:rPr>
                  </w:pPr>
                  <w:r>
                    <w:rPr>
                      <w:rFonts w:hint="eastAsia"/>
                      <w:sz w:val="21"/>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雕刻机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90</w:t>
                  </w:r>
                </w:p>
              </w:tc>
              <w:tc>
                <w:tcPr>
                  <w:tcW w:w="850" w:type="dxa"/>
                  <w:vAlign w:val="center"/>
                </w:tcPr>
                <w:p>
                  <w:pPr>
                    <w:pStyle w:val="52"/>
                    <w:jc w:val="center"/>
                    <w:rPr>
                      <w:sz w:val="21"/>
                      <w:szCs w:val="21"/>
                    </w:rPr>
                  </w:pPr>
                  <w:r>
                    <w:rPr>
                      <w:rFonts w:hint="eastAsia"/>
                      <w:sz w:val="21"/>
                      <w:szCs w:val="21"/>
                    </w:rPr>
                    <w:t>67</w:t>
                  </w:r>
                </w:p>
              </w:tc>
              <w:tc>
                <w:tcPr>
                  <w:tcW w:w="851" w:type="dxa"/>
                  <w:vAlign w:val="center"/>
                </w:tcPr>
                <w:p>
                  <w:pPr>
                    <w:pStyle w:val="52"/>
                    <w:jc w:val="center"/>
                    <w:rPr>
                      <w:sz w:val="21"/>
                      <w:szCs w:val="21"/>
                    </w:rPr>
                  </w:pPr>
                  <w:r>
                    <w:rPr>
                      <w:rFonts w:hint="eastAsia"/>
                      <w:sz w:val="21"/>
                      <w:szCs w:val="21"/>
                    </w:rPr>
                    <w:t>76</w:t>
                  </w:r>
                </w:p>
              </w:tc>
              <w:tc>
                <w:tcPr>
                  <w:tcW w:w="709" w:type="dxa"/>
                  <w:vAlign w:val="center"/>
                </w:tcPr>
                <w:p>
                  <w:pPr>
                    <w:pStyle w:val="52"/>
                    <w:jc w:val="center"/>
                    <w:rPr>
                      <w:sz w:val="21"/>
                      <w:szCs w:val="21"/>
                    </w:rPr>
                  </w:pPr>
                  <w:r>
                    <w:rPr>
                      <w:rFonts w:hint="eastAsia"/>
                      <w:sz w:val="21"/>
                      <w:szCs w:val="21"/>
                    </w:rPr>
                    <w:t>64</w:t>
                  </w:r>
                </w:p>
              </w:tc>
              <w:tc>
                <w:tcPr>
                  <w:tcW w:w="850" w:type="dxa"/>
                  <w:vAlign w:val="center"/>
                </w:tcPr>
                <w:p>
                  <w:pPr>
                    <w:pStyle w:val="52"/>
                    <w:jc w:val="center"/>
                    <w:rPr>
                      <w:sz w:val="21"/>
                      <w:szCs w:val="21"/>
                    </w:rPr>
                  </w:pPr>
                  <w:r>
                    <w:rPr>
                      <w:rFonts w:hint="eastAsia"/>
                      <w:sz w:val="21"/>
                      <w:szCs w:val="21"/>
                    </w:rPr>
                    <w:t>25</w:t>
                  </w:r>
                </w:p>
              </w:tc>
              <w:tc>
                <w:tcPr>
                  <w:tcW w:w="1276" w:type="dxa"/>
                  <w:vAlign w:val="center"/>
                </w:tcPr>
                <w:p>
                  <w:pPr>
                    <w:pStyle w:val="52"/>
                    <w:jc w:val="center"/>
                    <w:rPr>
                      <w:sz w:val="21"/>
                      <w:szCs w:val="21"/>
                    </w:rPr>
                  </w:pPr>
                  <w:r>
                    <w:rPr>
                      <w:rFonts w:hint="eastAsia"/>
                      <w:sz w:val="21"/>
                      <w:szCs w:val="21"/>
                    </w:rPr>
                    <w:t>110</w:t>
                  </w:r>
                </w:p>
              </w:tc>
              <w:tc>
                <w:tcPr>
                  <w:tcW w:w="1276" w:type="dxa"/>
                  <w:vAlign w:val="center"/>
                </w:tcPr>
                <w:p>
                  <w:pPr>
                    <w:pStyle w:val="52"/>
                    <w:jc w:val="center"/>
                    <w:rPr>
                      <w:sz w:val="21"/>
                      <w:szCs w:val="21"/>
                    </w:rPr>
                  </w:pPr>
                  <w:r>
                    <w:rPr>
                      <w:rFonts w:hint="eastAsia"/>
                      <w:sz w:val="21"/>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行车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70</w:t>
                  </w:r>
                </w:p>
              </w:tc>
              <w:tc>
                <w:tcPr>
                  <w:tcW w:w="850" w:type="dxa"/>
                  <w:vAlign w:val="center"/>
                </w:tcPr>
                <w:p>
                  <w:pPr>
                    <w:pStyle w:val="52"/>
                    <w:jc w:val="center"/>
                    <w:rPr>
                      <w:sz w:val="21"/>
                      <w:szCs w:val="21"/>
                    </w:rPr>
                  </w:pPr>
                  <w:r>
                    <w:rPr>
                      <w:rFonts w:hint="eastAsia"/>
                      <w:sz w:val="21"/>
                      <w:szCs w:val="21"/>
                    </w:rPr>
                    <w:t>87</w:t>
                  </w:r>
                </w:p>
              </w:tc>
              <w:tc>
                <w:tcPr>
                  <w:tcW w:w="851" w:type="dxa"/>
                  <w:vAlign w:val="center"/>
                </w:tcPr>
                <w:p>
                  <w:pPr>
                    <w:pStyle w:val="52"/>
                    <w:jc w:val="center"/>
                    <w:rPr>
                      <w:sz w:val="21"/>
                      <w:szCs w:val="21"/>
                    </w:rPr>
                  </w:pPr>
                  <w:r>
                    <w:rPr>
                      <w:rFonts w:hint="eastAsia"/>
                      <w:sz w:val="21"/>
                      <w:szCs w:val="21"/>
                    </w:rPr>
                    <w:t>57</w:t>
                  </w:r>
                </w:p>
              </w:tc>
              <w:tc>
                <w:tcPr>
                  <w:tcW w:w="709" w:type="dxa"/>
                  <w:vAlign w:val="center"/>
                </w:tcPr>
                <w:p>
                  <w:pPr>
                    <w:pStyle w:val="52"/>
                    <w:jc w:val="center"/>
                    <w:rPr>
                      <w:sz w:val="21"/>
                      <w:szCs w:val="21"/>
                    </w:rPr>
                  </w:pPr>
                  <w:r>
                    <w:rPr>
                      <w:rFonts w:hint="eastAsia"/>
                      <w:sz w:val="21"/>
                      <w:szCs w:val="21"/>
                    </w:rPr>
                    <w:t>66</w:t>
                  </w:r>
                </w:p>
              </w:tc>
              <w:tc>
                <w:tcPr>
                  <w:tcW w:w="850" w:type="dxa"/>
                  <w:vAlign w:val="center"/>
                </w:tcPr>
                <w:p>
                  <w:pPr>
                    <w:pStyle w:val="52"/>
                    <w:jc w:val="center"/>
                    <w:rPr>
                      <w:sz w:val="21"/>
                      <w:szCs w:val="21"/>
                    </w:rPr>
                  </w:pPr>
                  <w:r>
                    <w:rPr>
                      <w:rFonts w:hint="eastAsia"/>
                      <w:sz w:val="21"/>
                      <w:szCs w:val="21"/>
                    </w:rPr>
                    <w:t>22</w:t>
                  </w:r>
                </w:p>
              </w:tc>
              <w:tc>
                <w:tcPr>
                  <w:tcW w:w="1276" w:type="dxa"/>
                  <w:vAlign w:val="center"/>
                </w:tcPr>
                <w:p>
                  <w:pPr>
                    <w:pStyle w:val="52"/>
                    <w:jc w:val="center"/>
                    <w:rPr>
                      <w:sz w:val="21"/>
                      <w:szCs w:val="21"/>
                    </w:rPr>
                  </w:pPr>
                  <w:r>
                    <w:rPr>
                      <w:rFonts w:hint="eastAsia"/>
                      <w:sz w:val="21"/>
                      <w:szCs w:val="21"/>
                    </w:rPr>
                    <w:t>102</w:t>
                  </w:r>
                </w:p>
              </w:tc>
              <w:tc>
                <w:tcPr>
                  <w:tcW w:w="1276" w:type="dxa"/>
                  <w:vAlign w:val="center"/>
                </w:tcPr>
                <w:p>
                  <w:pPr>
                    <w:pStyle w:val="52"/>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叉车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75</w:t>
                  </w:r>
                </w:p>
              </w:tc>
              <w:tc>
                <w:tcPr>
                  <w:tcW w:w="850" w:type="dxa"/>
                  <w:vAlign w:val="center"/>
                </w:tcPr>
                <w:p>
                  <w:pPr>
                    <w:pStyle w:val="52"/>
                    <w:jc w:val="center"/>
                    <w:rPr>
                      <w:sz w:val="21"/>
                      <w:szCs w:val="21"/>
                    </w:rPr>
                  </w:pPr>
                  <w:r>
                    <w:rPr>
                      <w:rFonts w:hint="eastAsia"/>
                      <w:sz w:val="21"/>
                      <w:szCs w:val="21"/>
                    </w:rPr>
                    <w:t>85</w:t>
                  </w:r>
                </w:p>
              </w:tc>
              <w:tc>
                <w:tcPr>
                  <w:tcW w:w="851" w:type="dxa"/>
                  <w:vAlign w:val="center"/>
                </w:tcPr>
                <w:p>
                  <w:pPr>
                    <w:pStyle w:val="52"/>
                    <w:jc w:val="center"/>
                    <w:rPr>
                      <w:sz w:val="21"/>
                      <w:szCs w:val="21"/>
                    </w:rPr>
                  </w:pPr>
                  <w:r>
                    <w:rPr>
                      <w:rFonts w:hint="eastAsia"/>
                      <w:sz w:val="21"/>
                      <w:szCs w:val="21"/>
                    </w:rPr>
                    <w:t>60</w:t>
                  </w:r>
                </w:p>
              </w:tc>
              <w:tc>
                <w:tcPr>
                  <w:tcW w:w="709" w:type="dxa"/>
                  <w:vAlign w:val="center"/>
                </w:tcPr>
                <w:p>
                  <w:pPr>
                    <w:pStyle w:val="52"/>
                    <w:jc w:val="center"/>
                    <w:rPr>
                      <w:sz w:val="21"/>
                      <w:szCs w:val="21"/>
                    </w:rPr>
                  </w:pPr>
                  <w:r>
                    <w:rPr>
                      <w:rFonts w:hint="eastAsia"/>
                      <w:sz w:val="21"/>
                      <w:szCs w:val="21"/>
                    </w:rPr>
                    <w:t>47</w:t>
                  </w:r>
                </w:p>
              </w:tc>
              <w:tc>
                <w:tcPr>
                  <w:tcW w:w="850" w:type="dxa"/>
                  <w:vAlign w:val="center"/>
                </w:tcPr>
                <w:p>
                  <w:pPr>
                    <w:pStyle w:val="52"/>
                    <w:jc w:val="center"/>
                    <w:rPr>
                      <w:sz w:val="21"/>
                      <w:szCs w:val="21"/>
                    </w:rPr>
                  </w:pPr>
                  <w:r>
                    <w:rPr>
                      <w:rFonts w:hint="eastAsia"/>
                      <w:sz w:val="21"/>
                      <w:szCs w:val="21"/>
                    </w:rPr>
                    <w:t>42</w:t>
                  </w:r>
                </w:p>
              </w:tc>
              <w:tc>
                <w:tcPr>
                  <w:tcW w:w="1276" w:type="dxa"/>
                  <w:vAlign w:val="center"/>
                </w:tcPr>
                <w:p>
                  <w:pPr>
                    <w:pStyle w:val="52"/>
                    <w:jc w:val="center"/>
                    <w:rPr>
                      <w:sz w:val="21"/>
                      <w:szCs w:val="21"/>
                    </w:rPr>
                  </w:pPr>
                  <w:r>
                    <w:rPr>
                      <w:rFonts w:hint="eastAsia"/>
                      <w:sz w:val="21"/>
                      <w:szCs w:val="21"/>
                    </w:rPr>
                    <w:t>120</w:t>
                  </w:r>
                </w:p>
              </w:tc>
              <w:tc>
                <w:tcPr>
                  <w:tcW w:w="1276" w:type="dxa"/>
                  <w:vAlign w:val="center"/>
                </w:tcPr>
                <w:p>
                  <w:pPr>
                    <w:pStyle w:val="52"/>
                    <w:jc w:val="center"/>
                    <w:rPr>
                      <w:sz w:val="21"/>
                      <w:szCs w:val="21"/>
                    </w:rPr>
                  </w:pPr>
                  <w:r>
                    <w:rPr>
                      <w:rFonts w:hint="eastAsia"/>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进料斗</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rFonts w:hint="eastAsia"/>
                      <w:sz w:val="21"/>
                      <w:szCs w:val="21"/>
                    </w:rPr>
                    <w:t>90</w:t>
                  </w:r>
                </w:p>
              </w:tc>
              <w:tc>
                <w:tcPr>
                  <w:tcW w:w="850" w:type="dxa"/>
                  <w:vAlign w:val="center"/>
                </w:tcPr>
                <w:p>
                  <w:pPr>
                    <w:pStyle w:val="52"/>
                    <w:jc w:val="center"/>
                    <w:rPr>
                      <w:sz w:val="21"/>
                      <w:szCs w:val="21"/>
                    </w:rPr>
                  </w:pPr>
                  <w:r>
                    <w:rPr>
                      <w:rFonts w:hint="eastAsia"/>
                      <w:sz w:val="21"/>
                      <w:szCs w:val="21"/>
                    </w:rPr>
                    <w:t>32</w:t>
                  </w:r>
                </w:p>
              </w:tc>
              <w:tc>
                <w:tcPr>
                  <w:tcW w:w="851" w:type="dxa"/>
                  <w:vAlign w:val="center"/>
                </w:tcPr>
                <w:p>
                  <w:pPr>
                    <w:pStyle w:val="52"/>
                    <w:jc w:val="center"/>
                    <w:rPr>
                      <w:sz w:val="21"/>
                      <w:szCs w:val="21"/>
                    </w:rPr>
                  </w:pPr>
                  <w:r>
                    <w:rPr>
                      <w:rFonts w:hint="eastAsia"/>
                      <w:sz w:val="21"/>
                      <w:szCs w:val="21"/>
                    </w:rPr>
                    <w:t>112</w:t>
                  </w:r>
                </w:p>
              </w:tc>
              <w:tc>
                <w:tcPr>
                  <w:tcW w:w="709" w:type="dxa"/>
                  <w:vAlign w:val="center"/>
                </w:tcPr>
                <w:p>
                  <w:pPr>
                    <w:pStyle w:val="52"/>
                    <w:jc w:val="center"/>
                    <w:rPr>
                      <w:sz w:val="21"/>
                      <w:szCs w:val="21"/>
                    </w:rPr>
                  </w:pPr>
                  <w:r>
                    <w:rPr>
                      <w:rFonts w:hint="eastAsia"/>
                      <w:sz w:val="21"/>
                      <w:szCs w:val="21"/>
                    </w:rPr>
                    <w:t>71</w:t>
                  </w:r>
                </w:p>
              </w:tc>
              <w:tc>
                <w:tcPr>
                  <w:tcW w:w="850" w:type="dxa"/>
                  <w:vAlign w:val="center"/>
                </w:tcPr>
                <w:p>
                  <w:pPr>
                    <w:pStyle w:val="52"/>
                    <w:jc w:val="center"/>
                    <w:rPr>
                      <w:sz w:val="21"/>
                      <w:szCs w:val="21"/>
                    </w:rPr>
                  </w:pPr>
                  <w:r>
                    <w:rPr>
                      <w:rFonts w:hint="eastAsia"/>
                      <w:sz w:val="21"/>
                      <w:szCs w:val="21"/>
                    </w:rPr>
                    <w:t>20</w:t>
                  </w:r>
                </w:p>
              </w:tc>
              <w:tc>
                <w:tcPr>
                  <w:tcW w:w="1276" w:type="dxa"/>
                  <w:vAlign w:val="center"/>
                </w:tcPr>
                <w:p>
                  <w:pPr>
                    <w:pStyle w:val="52"/>
                    <w:jc w:val="center"/>
                    <w:rPr>
                      <w:sz w:val="21"/>
                      <w:szCs w:val="21"/>
                    </w:rPr>
                  </w:pPr>
                  <w:r>
                    <w:rPr>
                      <w:rFonts w:hint="eastAsia"/>
                      <w:sz w:val="21"/>
                      <w:szCs w:val="21"/>
                    </w:rPr>
                    <w:t>125</w:t>
                  </w:r>
                </w:p>
              </w:tc>
              <w:tc>
                <w:tcPr>
                  <w:tcW w:w="1276" w:type="dxa"/>
                  <w:vAlign w:val="center"/>
                </w:tcPr>
                <w:p>
                  <w:pPr>
                    <w:pStyle w:val="52"/>
                    <w:jc w:val="center"/>
                    <w:rPr>
                      <w:sz w:val="21"/>
                      <w:szCs w:val="21"/>
                    </w:rPr>
                  </w:pPr>
                  <w:r>
                    <w:rPr>
                      <w:rFonts w:hint="eastAsia"/>
                      <w:sz w:val="21"/>
                      <w:szCs w:val="21"/>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sz w:val="21"/>
                      <w:szCs w:val="21"/>
                    </w:rPr>
                    <w:t>破碎机</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rFonts w:hint="eastAsia"/>
                      <w:sz w:val="21"/>
                      <w:szCs w:val="21"/>
                    </w:rPr>
                    <w:t>99.5</w:t>
                  </w:r>
                </w:p>
              </w:tc>
              <w:tc>
                <w:tcPr>
                  <w:tcW w:w="850" w:type="dxa"/>
                  <w:vAlign w:val="center"/>
                </w:tcPr>
                <w:p>
                  <w:pPr>
                    <w:pStyle w:val="52"/>
                    <w:jc w:val="center"/>
                    <w:rPr>
                      <w:sz w:val="21"/>
                      <w:szCs w:val="21"/>
                    </w:rPr>
                  </w:pPr>
                  <w:r>
                    <w:rPr>
                      <w:rFonts w:hint="eastAsia"/>
                      <w:sz w:val="21"/>
                      <w:szCs w:val="21"/>
                    </w:rPr>
                    <w:t>32</w:t>
                  </w:r>
                </w:p>
              </w:tc>
              <w:tc>
                <w:tcPr>
                  <w:tcW w:w="851" w:type="dxa"/>
                  <w:vAlign w:val="center"/>
                </w:tcPr>
                <w:p>
                  <w:pPr>
                    <w:pStyle w:val="52"/>
                    <w:jc w:val="center"/>
                    <w:rPr>
                      <w:sz w:val="21"/>
                      <w:szCs w:val="21"/>
                    </w:rPr>
                  </w:pPr>
                  <w:r>
                    <w:rPr>
                      <w:rFonts w:hint="eastAsia"/>
                      <w:sz w:val="21"/>
                      <w:szCs w:val="21"/>
                    </w:rPr>
                    <w:t>112</w:t>
                  </w:r>
                </w:p>
              </w:tc>
              <w:tc>
                <w:tcPr>
                  <w:tcW w:w="709" w:type="dxa"/>
                  <w:vAlign w:val="center"/>
                </w:tcPr>
                <w:p>
                  <w:pPr>
                    <w:pStyle w:val="52"/>
                    <w:jc w:val="center"/>
                    <w:rPr>
                      <w:sz w:val="21"/>
                      <w:szCs w:val="21"/>
                    </w:rPr>
                  </w:pPr>
                  <w:r>
                    <w:rPr>
                      <w:rFonts w:hint="eastAsia"/>
                      <w:sz w:val="21"/>
                      <w:szCs w:val="21"/>
                    </w:rPr>
                    <w:t>60</w:t>
                  </w:r>
                </w:p>
              </w:tc>
              <w:tc>
                <w:tcPr>
                  <w:tcW w:w="850" w:type="dxa"/>
                  <w:vAlign w:val="center"/>
                </w:tcPr>
                <w:p>
                  <w:pPr>
                    <w:pStyle w:val="52"/>
                    <w:jc w:val="center"/>
                    <w:rPr>
                      <w:sz w:val="21"/>
                      <w:szCs w:val="21"/>
                    </w:rPr>
                  </w:pPr>
                  <w:r>
                    <w:rPr>
                      <w:rFonts w:hint="eastAsia"/>
                      <w:sz w:val="21"/>
                      <w:szCs w:val="21"/>
                    </w:rPr>
                    <w:t>30</w:t>
                  </w:r>
                </w:p>
              </w:tc>
              <w:tc>
                <w:tcPr>
                  <w:tcW w:w="1276" w:type="dxa"/>
                  <w:vAlign w:val="center"/>
                </w:tcPr>
                <w:p>
                  <w:pPr>
                    <w:pStyle w:val="52"/>
                    <w:jc w:val="center"/>
                    <w:rPr>
                      <w:sz w:val="21"/>
                      <w:szCs w:val="21"/>
                    </w:rPr>
                  </w:pPr>
                  <w:r>
                    <w:rPr>
                      <w:rFonts w:hint="eastAsia"/>
                      <w:sz w:val="21"/>
                      <w:szCs w:val="21"/>
                    </w:rPr>
                    <w:t>134</w:t>
                  </w:r>
                </w:p>
              </w:tc>
              <w:tc>
                <w:tcPr>
                  <w:tcW w:w="1276" w:type="dxa"/>
                  <w:vAlign w:val="center"/>
                </w:tcPr>
                <w:p>
                  <w:pPr>
                    <w:pStyle w:val="52"/>
                    <w:jc w:val="center"/>
                    <w:rPr>
                      <w:sz w:val="21"/>
                      <w:szCs w:val="21"/>
                    </w:rPr>
                  </w:pPr>
                  <w:r>
                    <w:rPr>
                      <w:rFonts w:hint="eastAsia"/>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振动筛</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rFonts w:hint="eastAsia"/>
                      <w:sz w:val="21"/>
                      <w:szCs w:val="21"/>
                    </w:rPr>
                    <w:t>101.5</w:t>
                  </w:r>
                </w:p>
              </w:tc>
              <w:tc>
                <w:tcPr>
                  <w:tcW w:w="850" w:type="dxa"/>
                  <w:vAlign w:val="center"/>
                </w:tcPr>
                <w:p>
                  <w:pPr>
                    <w:pStyle w:val="52"/>
                    <w:jc w:val="center"/>
                    <w:rPr>
                      <w:sz w:val="21"/>
                      <w:szCs w:val="21"/>
                    </w:rPr>
                  </w:pPr>
                  <w:r>
                    <w:rPr>
                      <w:rFonts w:hint="eastAsia"/>
                      <w:sz w:val="21"/>
                      <w:szCs w:val="21"/>
                    </w:rPr>
                    <w:t>32</w:t>
                  </w:r>
                </w:p>
              </w:tc>
              <w:tc>
                <w:tcPr>
                  <w:tcW w:w="851" w:type="dxa"/>
                  <w:vAlign w:val="center"/>
                </w:tcPr>
                <w:p>
                  <w:pPr>
                    <w:pStyle w:val="52"/>
                    <w:jc w:val="center"/>
                    <w:rPr>
                      <w:sz w:val="21"/>
                      <w:szCs w:val="21"/>
                    </w:rPr>
                  </w:pPr>
                  <w:r>
                    <w:rPr>
                      <w:rFonts w:hint="eastAsia"/>
                      <w:sz w:val="21"/>
                      <w:szCs w:val="21"/>
                    </w:rPr>
                    <w:t>112</w:t>
                  </w:r>
                </w:p>
              </w:tc>
              <w:tc>
                <w:tcPr>
                  <w:tcW w:w="709" w:type="dxa"/>
                  <w:vAlign w:val="center"/>
                </w:tcPr>
                <w:p>
                  <w:pPr>
                    <w:pStyle w:val="52"/>
                    <w:jc w:val="center"/>
                    <w:rPr>
                      <w:sz w:val="21"/>
                      <w:szCs w:val="21"/>
                    </w:rPr>
                  </w:pPr>
                  <w:r>
                    <w:rPr>
                      <w:rFonts w:hint="eastAsia"/>
                      <w:sz w:val="21"/>
                      <w:szCs w:val="21"/>
                    </w:rPr>
                    <w:t>50</w:t>
                  </w:r>
                </w:p>
              </w:tc>
              <w:tc>
                <w:tcPr>
                  <w:tcW w:w="850" w:type="dxa"/>
                  <w:vAlign w:val="center"/>
                </w:tcPr>
                <w:p>
                  <w:pPr>
                    <w:pStyle w:val="52"/>
                    <w:jc w:val="center"/>
                    <w:rPr>
                      <w:sz w:val="21"/>
                      <w:szCs w:val="21"/>
                    </w:rPr>
                  </w:pPr>
                  <w:r>
                    <w:rPr>
                      <w:rFonts w:hint="eastAsia"/>
                      <w:sz w:val="21"/>
                      <w:szCs w:val="21"/>
                    </w:rPr>
                    <w:t>40</w:t>
                  </w:r>
                </w:p>
              </w:tc>
              <w:tc>
                <w:tcPr>
                  <w:tcW w:w="1276" w:type="dxa"/>
                  <w:vAlign w:val="center"/>
                </w:tcPr>
                <w:p>
                  <w:pPr>
                    <w:pStyle w:val="52"/>
                    <w:jc w:val="center"/>
                    <w:rPr>
                      <w:sz w:val="21"/>
                      <w:szCs w:val="21"/>
                    </w:rPr>
                  </w:pPr>
                  <w:r>
                    <w:rPr>
                      <w:rFonts w:hint="eastAsia"/>
                      <w:sz w:val="21"/>
                      <w:szCs w:val="21"/>
                    </w:rPr>
                    <w:t>141</w:t>
                  </w:r>
                </w:p>
              </w:tc>
              <w:tc>
                <w:tcPr>
                  <w:tcW w:w="1276" w:type="dxa"/>
                  <w:vAlign w:val="center"/>
                </w:tcPr>
                <w:p>
                  <w:pPr>
                    <w:pStyle w:val="52"/>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装载车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rFonts w:hint="eastAsia"/>
                      <w:sz w:val="21"/>
                      <w:szCs w:val="21"/>
                    </w:rPr>
                    <w:t>85</w:t>
                  </w:r>
                </w:p>
              </w:tc>
              <w:tc>
                <w:tcPr>
                  <w:tcW w:w="850" w:type="dxa"/>
                  <w:vAlign w:val="center"/>
                </w:tcPr>
                <w:p>
                  <w:pPr>
                    <w:pStyle w:val="52"/>
                    <w:jc w:val="center"/>
                    <w:rPr>
                      <w:sz w:val="21"/>
                      <w:szCs w:val="21"/>
                    </w:rPr>
                  </w:pPr>
                  <w:r>
                    <w:rPr>
                      <w:rFonts w:hint="eastAsia"/>
                      <w:sz w:val="21"/>
                      <w:szCs w:val="21"/>
                    </w:rPr>
                    <w:t>30</w:t>
                  </w:r>
                </w:p>
              </w:tc>
              <w:tc>
                <w:tcPr>
                  <w:tcW w:w="851" w:type="dxa"/>
                  <w:vAlign w:val="center"/>
                </w:tcPr>
                <w:p>
                  <w:pPr>
                    <w:pStyle w:val="52"/>
                    <w:jc w:val="center"/>
                    <w:rPr>
                      <w:sz w:val="21"/>
                      <w:szCs w:val="21"/>
                    </w:rPr>
                  </w:pPr>
                  <w:r>
                    <w:rPr>
                      <w:rFonts w:hint="eastAsia"/>
                      <w:sz w:val="21"/>
                      <w:szCs w:val="21"/>
                    </w:rPr>
                    <w:t>90</w:t>
                  </w:r>
                </w:p>
              </w:tc>
              <w:tc>
                <w:tcPr>
                  <w:tcW w:w="709" w:type="dxa"/>
                  <w:vAlign w:val="center"/>
                </w:tcPr>
                <w:p>
                  <w:pPr>
                    <w:pStyle w:val="52"/>
                    <w:jc w:val="center"/>
                    <w:rPr>
                      <w:sz w:val="21"/>
                      <w:szCs w:val="21"/>
                    </w:rPr>
                  </w:pPr>
                  <w:r>
                    <w:rPr>
                      <w:rFonts w:hint="eastAsia"/>
                      <w:sz w:val="21"/>
                      <w:szCs w:val="21"/>
                    </w:rPr>
                    <w:t>20</w:t>
                  </w:r>
                </w:p>
              </w:tc>
              <w:tc>
                <w:tcPr>
                  <w:tcW w:w="850" w:type="dxa"/>
                  <w:vAlign w:val="center"/>
                </w:tcPr>
                <w:p>
                  <w:pPr>
                    <w:pStyle w:val="52"/>
                    <w:jc w:val="center"/>
                    <w:rPr>
                      <w:sz w:val="21"/>
                      <w:szCs w:val="21"/>
                    </w:rPr>
                  </w:pPr>
                  <w:r>
                    <w:rPr>
                      <w:rFonts w:hint="eastAsia"/>
                      <w:sz w:val="21"/>
                      <w:szCs w:val="21"/>
                    </w:rPr>
                    <w:t>65</w:t>
                  </w:r>
                </w:p>
              </w:tc>
              <w:tc>
                <w:tcPr>
                  <w:tcW w:w="1276" w:type="dxa"/>
                  <w:vAlign w:val="center"/>
                </w:tcPr>
                <w:p>
                  <w:pPr>
                    <w:pStyle w:val="52"/>
                    <w:jc w:val="center"/>
                    <w:rPr>
                      <w:sz w:val="21"/>
                      <w:szCs w:val="21"/>
                    </w:rPr>
                  </w:pPr>
                  <w:r>
                    <w:rPr>
                      <w:rFonts w:hint="eastAsia"/>
                      <w:sz w:val="21"/>
                      <w:szCs w:val="21"/>
                    </w:rPr>
                    <w:t>160</w:t>
                  </w:r>
                </w:p>
              </w:tc>
              <w:tc>
                <w:tcPr>
                  <w:tcW w:w="1276" w:type="dxa"/>
                  <w:vAlign w:val="center"/>
                </w:tcPr>
                <w:p>
                  <w:pPr>
                    <w:pStyle w:val="52"/>
                    <w:jc w:val="center"/>
                    <w:rPr>
                      <w:sz w:val="21"/>
                      <w:szCs w:val="21"/>
                    </w:rPr>
                  </w:pPr>
                  <w:r>
                    <w:rPr>
                      <w:rFonts w:hint="eastAsia"/>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1" w:type="dxa"/>
                  <w:vAlign w:val="center"/>
                </w:tcPr>
                <w:p>
                  <w:pPr>
                    <w:pStyle w:val="52"/>
                    <w:jc w:val="center"/>
                    <w:rPr>
                      <w:sz w:val="21"/>
                      <w:szCs w:val="21"/>
                    </w:rPr>
                  </w:pPr>
                  <w:r>
                    <w:rPr>
                      <w:rFonts w:hint="eastAsia"/>
                      <w:sz w:val="21"/>
                      <w:szCs w:val="21"/>
                    </w:rPr>
                    <w:t>除尘风机</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rFonts w:hint="eastAsia"/>
                      <w:sz w:val="21"/>
                      <w:szCs w:val="21"/>
                    </w:rPr>
                    <w:t>85</w:t>
                  </w:r>
                </w:p>
              </w:tc>
              <w:tc>
                <w:tcPr>
                  <w:tcW w:w="850" w:type="dxa"/>
                  <w:vAlign w:val="center"/>
                </w:tcPr>
                <w:p>
                  <w:pPr>
                    <w:pStyle w:val="52"/>
                    <w:jc w:val="center"/>
                    <w:rPr>
                      <w:sz w:val="21"/>
                      <w:szCs w:val="21"/>
                    </w:rPr>
                  </w:pPr>
                  <w:r>
                    <w:rPr>
                      <w:rFonts w:hint="eastAsia"/>
                      <w:sz w:val="21"/>
                      <w:szCs w:val="21"/>
                    </w:rPr>
                    <w:t>23</w:t>
                  </w:r>
                </w:p>
              </w:tc>
              <w:tc>
                <w:tcPr>
                  <w:tcW w:w="851" w:type="dxa"/>
                  <w:vAlign w:val="center"/>
                </w:tcPr>
                <w:p>
                  <w:pPr>
                    <w:pStyle w:val="52"/>
                    <w:jc w:val="center"/>
                    <w:rPr>
                      <w:sz w:val="21"/>
                      <w:szCs w:val="21"/>
                    </w:rPr>
                  </w:pPr>
                  <w:r>
                    <w:rPr>
                      <w:rFonts w:hint="eastAsia"/>
                      <w:sz w:val="21"/>
                      <w:szCs w:val="21"/>
                    </w:rPr>
                    <w:t>120</w:t>
                  </w:r>
                </w:p>
              </w:tc>
              <w:tc>
                <w:tcPr>
                  <w:tcW w:w="709" w:type="dxa"/>
                  <w:vAlign w:val="center"/>
                </w:tcPr>
                <w:p>
                  <w:pPr>
                    <w:pStyle w:val="52"/>
                    <w:jc w:val="center"/>
                    <w:rPr>
                      <w:sz w:val="21"/>
                      <w:szCs w:val="21"/>
                    </w:rPr>
                  </w:pPr>
                  <w:r>
                    <w:rPr>
                      <w:rFonts w:hint="eastAsia"/>
                      <w:sz w:val="21"/>
                      <w:szCs w:val="21"/>
                    </w:rPr>
                    <w:t>56</w:t>
                  </w:r>
                </w:p>
              </w:tc>
              <w:tc>
                <w:tcPr>
                  <w:tcW w:w="850" w:type="dxa"/>
                  <w:vAlign w:val="center"/>
                </w:tcPr>
                <w:p>
                  <w:pPr>
                    <w:pStyle w:val="52"/>
                    <w:jc w:val="center"/>
                    <w:rPr>
                      <w:sz w:val="21"/>
                      <w:szCs w:val="21"/>
                    </w:rPr>
                  </w:pPr>
                  <w:r>
                    <w:rPr>
                      <w:rFonts w:hint="eastAsia"/>
                      <w:sz w:val="21"/>
                      <w:szCs w:val="21"/>
                    </w:rPr>
                    <w:t>35</w:t>
                  </w:r>
                </w:p>
              </w:tc>
              <w:tc>
                <w:tcPr>
                  <w:tcW w:w="1276" w:type="dxa"/>
                  <w:vAlign w:val="center"/>
                </w:tcPr>
                <w:p>
                  <w:pPr>
                    <w:pStyle w:val="52"/>
                    <w:jc w:val="center"/>
                    <w:rPr>
                      <w:sz w:val="21"/>
                      <w:szCs w:val="21"/>
                    </w:rPr>
                  </w:pPr>
                  <w:r>
                    <w:rPr>
                      <w:rFonts w:hint="eastAsia"/>
                      <w:sz w:val="21"/>
                      <w:szCs w:val="21"/>
                    </w:rPr>
                    <w:t>144</w:t>
                  </w:r>
                </w:p>
              </w:tc>
              <w:tc>
                <w:tcPr>
                  <w:tcW w:w="1276" w:type="dxa"/>
                  <w:vAlign w:val="center"/>
                </w:tcPr>
                <w:p>
                  <w:pPr>
                    <w:pStyle w:val="52"/>
                    <w:jc w:val="center"/>
                    <w:rPr>
                      <w:sz w:val="21"/>
                      <w:szCs w:val="21"/>
                    </w:rPr>
                  </w:pPr>
                  <w:r>
                    <w:rPr>
                      <w:rFonts w:hint="eastAsia"/>
                      <w:sz w:val="21"/>
                      <w:szCs w:val="21"/>
                    </w:rPr>
                    <w:t>207</w:t>
                  </w:r>
                </w:p>
              </w:tc>
            </w:tr>
          </w:tbl>
          <w:p>
            <w:pPr>
              <w:spacing w:before="156" w:beforeLines="50"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15</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营运区设备噪声贡献值预测结果</w:t>
            </w:r>
          </w:p>
          <w:p>
            <w:pPr>
              <w:widowControl/>
              <w:ind w:right="315" w:rightChars="150"/>
              <w:jc w:val="right"/>
              <w:rPr>
                <w:rFonts w:ascii="黑体" w:hAnsi="黑体" w:eastAsia="黑体" w:cs="黑体"/>
                <w:szCs w:val="21"/>
              </w:rPr>
            </w:pPr>
            <w:r>
              <w:rPr>
                <w:rFonts w:hint="eastAsia" w:ascii="黑体" w:hAnsi="黑体" w:eastAsia="黑体" w:cs="黑体"/>
                <w:szCs w:val="21"/>
              </w:rPr>
              <w:t>单位：dB（A）</w:t>
            </w:r>
          </w:p>
          <w:tbl>
            <w:tblPr>
              <w:tblStyle w:val="25"/>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1"/>
              <w:gridCol w:w="709"/>
              <w:gridCol w:w="1134"/>
              <w:gridCol w:w="850"/>
              <w:gridCol w:w="851"/>
              <w:gridCol w:w="709"/>
              <w:gridCol w:w="850"/>
              <w:gridCol w:w="1276"/>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blHeader/>
              </w:trPr>
              <w:tc>
                <w:tcPr>
                  <w:tcW w:w="1271" w:type="dxa"/>
                  <w:vMerge w:val="restart"/>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声源设备</w:t>
                  </w:r>
                </w:p>
              </w:tc>
              <w:tc>
                <w:tcPr>
                  <w:tcW w:w="709" w:type="dxa"/>
                  <w:vMerge w:val="restart"/>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数量</w:t>
                  </w:r>
                </w:p>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（台/套）</w:t>
                  </w:r>
                </w:p>
              </w:tc>
              <w:tc>
                <w:tcPr>
                  <w:tcW w:w="1134" w:type="dxa"/>
                  <w:vMerge w:val="restart"/>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同类设备叠加</w:t>
                  </w:r>
                  <w:r>
                    <w:rPr>
                      <w:rFonts w:ascii="Times New Roman" w:hAnsi="Times New Roman" w:cs="Times New Roman"/>
                      <w:b/>
                      <w:bCs/>
                      <w:szCs w:val="21"/>
                    </w:rPr>
                    <w:t>源强[dB(A)]</w:t>
                  </w:r>
                </w:p>
              </w:tc>
              <w:tc>
                <w:tcPr>
                  <w:tcW w:w="5798" w:type="dxa"/>
                  <w:gridSpan w:val="6"/>
                  <w:vAlign w:val="center"/>
                </w:tcPr>
                <w:p>
                  <w:pPr>
                    <w:pStyle w:val="47"/>
                    <w:spacing w:line="240" w:lineRule="auto"/>
                    <w:rPr>
                      <w:rFonts w:ascii="Times New Roman" w:hAnsi="Times New Roman" w:cs="Times New Roman"/>
                      <w:b/>
                      <w:bCs/>
                      <w:szCs w:val="21"/>
                    </w:rPr>
                  </w:pPr>
                  <w:r>
                    <w:rPr>
                      <w:rFonts w:hint="eastAsia" w:ascii="Times New Roman" w:hAnsi="Times New Roman" w:cs="Times New Roman"/>
                      <w:b/>
                      <w:bCs/>
                      <w:szCs w:val="21"/>
                    </w:rPr>
                    <w:t>噪声预测值dB（A）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blHeader/>
              </w:trPr>
              <w:tc>
                <w:tcPr>
                  <w:tcW w:w="1271" w:type="dxa"/>
                  <w:vMerge w:val="continue"/>
                  <w:vAlign w:val="center"/>
                </w:tcPr>
                <w:p>
                  <w:pPr>
                    <w:widowControl/>
                    <w:jc w:val="center"/>
                    <w:rPr>
                      <w:rFonts w:ascii="Times New Roman" w:hAnsi="Times New Roman" w:cs="Times New Roman"/>
                      <w:b/>
                      <w:kern w:val="0"/>
                      <w:szCs w:val="21"/>
                    </w:rPr>
                  </w:pPr>
                </w:p>
              </w:tc>
              <w:tc>
                <w:tcPr>
                  <w:tcW w:w="709" w:type="dxa"/>
                  <w:vMerge w:val="continue"/>
                  <w:vAlign w:val="center"/>
                </w:tcPr>
                <w:p>
                  <w:pPr>
                    <w:pStyle w:val="47"/>
                    <w:spacing w:line="240" w:lineRule="auto"/>
                    <w:rPr>
                      <w:rFonts w:ascii="Times New Roman" w:hAnsi="Times New Roman" w:cs="Times New Roman"/>
                      <w:b/>
                      <w:bCs/>
                      <w:szCs w:val="21"/>
                    </w:rPr>
                  </w:pPr>
                </w:p>
              </w:tc>
              <w:tc>
                <w:tcPr>
                  <w:tcW w:w="1134" w:type="dxa"/>
                  <w:vMerge w:val="continue"/>
                  <w:vAlign w:val="center"/>
                </w:tcPr>
                <w:p>
                  <w:pPr>
                    <w:pStyle w:val="47"/>
                    <w:spacing w:line="240" w:lineRule="auto"/>
                    <w:rPr>
                      <w:rFonts w:ascii="Times New Roman" w:hAnsi="Times New Roman" w:cs="Times New Roman"/>
                      <w:b/>
                      <w:bCs/>
                      <w:szCs w:val="21"/>
                    </w:rPr>
                  </w:pPr>
                </w:p>
              </w:tc>
              <w:tc>
                <w:tcPr>
                  <w:tcW w:w="850" w:type="dxa"/>
                  <w:vAlign w:val="center"/>
                </w:tcPr>
                <w:p>
                  <w:pPr>
                    <w:jc w:val="center"/>
                    <w:rPr>
                      <w:rFonts w:ascii="Times New Roman" w:hAnsi="Times New Roman" w:cs="Times New Roman"/>
                      <w:b/>
                      <w:bCs/>
                      <w:szCs w:val="21"/>
                    </w:rPr>
                  </w:pPr>
                  <w:r>
                    <w:rPr>
                      <w:rFonts w:ascii="Times New Roman" w:hAnsi="Times New Roman" w:cs="Times New Roman"/>
                      <w:b/>
                      <w:bCs/>
                      <w:szCs w:val="21"/>
                    </w:rPr>
                    <w:t>东</w:t>
                  </w:r>
                  <w:r>
                    <w:rPr>
                      <w:rFonts w:hint="eastAsia" w:ascii="Times New Roman" w:hAnsi="Times New Roman" w:cs="Times New Roman"/>
                      <w:b/>
                      <w:bCs/>
                      <w:szCs w:val="21"/>
                    </w:rPr>
                    <w:t>厂界</w:t>
                  </w:r>
                </w:p>
              </w:tc>
              <w:tc>
                <w:tcPr>
                  <w:tcW w:w="851" w:type="dxa"/>
                  <w:vAlign w:val="center"/>
                </w:tcPr>
                <w:p>
                  <w:pPr>
                    <w:jc w:val="center"/>
                    <w:rPr>
                      <w:rFonts w:ascii="Times New Roman" w:hAnsi="Times New Roman" w:cs="Times New Roman"/>
                      <w:b/>
                      <w:bCs/>
                      <w:szCs w:val="21"/>
                    </w:rPr>
                  </w:pPr>
                  <w:r>
                    <w:rPr>
                      <w:rFonts w:ascii="Times New Roman" w:hAnsi="Times New Roman" w:cs="Times New Roman"/>
                      <w:b/>
                      <w:bCs/>
                      <w:szCs w:val="21"/>
                    </w:rPr>
                    <w:t>西</w:t>
                  </w:r>
                  <w:r>
                    <w:rPr>
                      <w:rFonts w:hint="eastAsia" w:ascii="Times New Roman" w:hAnsi="Times New Roman" w:cs="Times New Roman"/>
                      <w:b/>
                      <w:bCs/>
                      <w:szCs w:val="21"/>
                    </w:rPr>
                    <w:t>厂界</w:t>
                  </w:r>
                </w:p>
              </w:tc>
              <w:tc>
                <w:tcPr>
                  <w:tcW w:w="709" w:type="dxa"/>
                  <w:vAlign w:val="center"/>
                </w:tcPr>
                <w:p>
                  <w:pPr>
                    <w:jc w:val="center"/>
                    <w:rPr>
                      <w:rFonts w:ascii="Times New Roman" w:hAnsi="Times New Roman" w:cs="Times New Roman"/>
                      <w:b/>
                      <w:bCs/>
                      <w:szCs w:val="21"/>
                    </w:rPr>
                  </w:pPr>
                  <w:r>
                    <w:rPr>
                      <w:rFonts w:ascii="Times New Roman" w:hAnsi="Times New Roman" w:cs="Times New Roman"/>
                      <w:b/>
                      <w:bCs/>
                      <w:szCs w:val="21"/>
                    </w:rPr>
                    <w:t>南</w:t>
                  </w:r>
                  <w:r>
                    <w:rPr>
                      <w:rFonts w:hint="eastAsia" w:ascii="Times New Roman" w:hAnsi="Times New Roman" w:cs="Times New Roman"/>
                      <w:b/>
                      <w:bCs/>
                      <w:szCs w:val="21"/>
                    </w:rPr>
                    <w:t>厂界</w:t>
                  </w:r>
                </w:p>
              </w:tc>
              <w:tc>
                <w:tcPr>
                  <w:tcW w:w="850" w:type="dxa"/>
                  <w:vAlign w:val="center"/>
                </w:tcPr>
                <w:p>
                  <w:pPr>
                    <w:jc w:val="center"/>
                    <w:rPr>
                      <w:rFonts w:ascii="Times New Roman" w:hAnsi="Times New Roman" w:cs="Times New Roman"/>
                      <w:b/>
                      <w:bCs/>
                      <w:szCs w:val="21"/>
                    </w:rPr>
                  </w:pPr>
                  <w:r>
                    <w:rPr>
                      <w:rFonts w:ascii="Times New Roman" w:hAnsi="Times New Roman" w:cs="Times New Roman"/>
                      <w:b/>
                      <w:bCs/>
                      <w:szCs w:val="21"/>
                    </w:rPr>
                    <w:t>北</w:t>
                  </w:r>
                  <w:r>
                    <w:rPr>
                      <w:rFonts w:hint="eastAsia" w:ascii="Times New Roman" w:hAnsi="Times New Roman" w:cs="Times New Roman"/>
                      <w:b/>
                      <w:bCs/>
                      <w:szCs w:val="21"/>
                    </w:rPr>
                    <w:t>厂界</w:t>
                  </w:r>
                </w:p>
              </w:tc>
              <w:tc>
                <w:tcPr>
                  <w:tcW w:w="1276" w:type="dxa"/>
                  <w:vAlign w:val="center"/>
                </w:tcPr>
                <w:p>
                  <w:pPr>
                    <w:jc w:val="center"/>
                    <w:rPr>
                      <w:rFonts w:ascii="Times New Roman" w:hAnsi="Times New Roman" w:cs="Times New Roman"/>
                      <w:b/>
                      <w:bCs/>
                      <w:szCs w:val="21"/>
                    </w:rPr>
                  </w:pPr>
                  <w:r>
                    <w:rPr>
                      <w:rFonts w:hint="eastAsia" w:ascii="Times New Roman" w:hAnsi="Times New Roman" w:cs="Times New Roman"/>
                      <w:b/>
                      <w:bCs/>
                      <w:szCs w:val="21"/>
                    </w:rPr>
                    <w:t>厂区北侧80m处堂冲垇居民点</w:t>
                  </w:r>
                </w:p>
              </w:tc>
              <w:tc>
                <w:tcPr>
                  <w:tcW w:w="1262" w:type="dxa"/>
                  <w:vAlign w:val="center"/>
                </w:tcPr>
                <w:p>
                  <w:pPr>
                    <w:jc w:val="center"/>
                    <w:rPr>
                      <w:rFonts w:ascii="Times New Roman" w:hAnsi="Times New Roman" w:cs="Times New Roman"/>
                      <w:b/>
                      <w:bCs/>
                      <w:szCs w:val="21"/>
                    </w:rPr>
                  </w:pPr>
                  <w:r>
                    <w:rPr>
                      <w:rFonts w:hint="eastAsia" w:ascii="Times New Roman" w:hAnsi="Times New Roman" w:cs="Times New Roman"/>
                      <w:b/>
                      <w:bCs/>
                      <w:szCs w:val="21"/>
                    </w:rPr>
                    <w:t>厂区南侧140m处长冲居民点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龙门切割机</w:t>
                  </w:r>
                </w:p>
              </w:tc>
              <w:tc>
                <w:tcPr>
                  <w:tcW w:w="709" w:type="dxa"/>
                  <w:vAlign w:val="center"/>
                </w:tcPr>
                <w:p>
                  <w:pPr>
                    <w:pStyle w:val="52"/>
                    <w:jc w:val="center"/>
                    <w:rPr>
                      <w:sz w:val="21"/>
                      <w:szCs w:val="21"/>
                    </w:rPr>
                  </w:pPr>
                  <w:r>
                    <w:rPr>
                      <w:rFonts w:hint="eastAsia"/>
                      <w:sz w:val="21"/>
                      <w:szCs w:val="21"/>
                    </w:rPr>
                    <w:t>5</w:t>
                  </w:r>
                </w:p>
              </w:tc>
              <w:tc>
                <w:tcPr>
                  <w:tcW w:w="1134" w:type="dxa"/>
                  <w:vAlign w:val="center"/>
                </w:tcPr>
                <w:p>
                  <w:pPr>
                    <w:pStyle w:val="52"/>
                    <w:jc w:val="center"/>
                    <w:rPr>
                      <w:sz w:val="21"/>
                      <w:szCs w:val="21"/>
                    </w:rPr>
                  </w:pPr>
                  <w:r>
                    <w:rPr>
                      <w:sz w:val="21"/>
                      <w:szCs w:val="21"/>
                    </w:rPr>
                    <w:t>107.0</w:t>
                  </w:r>
                </w:p>
              </w:tc>
              <w:tc>
                <w:tcPr>
                  <w:tcW w:w="850" w:type="dxa"/>
                  <w:vAlign w:val="center"/>
                </w:tcPr>
                <w:p>
                  <w:pPr>
                    <w:pStyle w:val="52"/>
                    <w:jc w:val="center"/>
                    <w:rPr>
                      <w:sz w:val="21"/>
                      <w:szCs w:val="21"/>
                    </w:rPr>
                  </w:pPr>
                  <w:r>
                    <w:rPr>
                      <w:sz w:val="21"/>
                      <w:szCs w:val="21"/>
                    </w:rPr>
                    <w:t>67.2</w:t>
                  </w:r>
                </w:p>
              </w:tc>
              <w:tc>
                <w:tcPr>
                  <w:tcW w:w="851" w:type="dxa"/>
                  <w:vAlign w:val="center"/>
                </w:tcPr>
                <w:p>
                  <w:pPr>
                    <w:pStyle w:val="52"/>
                    <w:jc w:val="center"/>
                    <w:rPr>
                      <w:sz w:val="21"/>
                      <w:szCs w:val="21"/>
                    </w:rPr>
                  </w:pPr>
                  <w:r>
                    <w:rPr>
                      <w:sz w:val="21"/>
                      <w:szCs w:val="21"/>
                    </w:rPr>
                    <w:t>73.7</w:t>
                  </w:r>
                </w:p>
              </w:tc>
              <w:tc>
                <w:tcPr>
                  <w:tcW w:w="709" w:type="dxa"/>
                  <w:vAlign w:val="center"/>
                </w:tcPr>
                <w:p>
                  <w:pPr>
                    <w:pStyle w:val="52"/>
                    <w:jc w:val="center"/>
                    <w:rPr>
                      <w:sz w:val="21"/>
                      <w:szCs w:val="21"/>
                    </w:rPr>
                  </w:pPr>
                  <w:r>
                    <w:rPr>
                      <w:sz w:val="21"/>
                      <w:szCs w:val="21"/>
                    </w:rPr>
                    <w:t>70.5</w:t>
                  </w:r>
                </w:p>
              </w:tc>
              <w:tc>
                <w:tcPr>
                  <w:tcW w:w="850" w:type="dxa"/>
                  <w:vAlign w:val="center"/>
                </w:tcPr>
                <w:p>
                  <w:pPr>
                    <w:pStyle w:val="52"/>
                    <w:jc w:val="center"/>
                    <w:rPr>
                      <w:sz w:val="21"/>
                      <w:szCs w:val="21"/>
                    </w:rPr>
                  </w:pPr>
                  <w:r>
                    <w:rPr>
                      <w:sz w:val="21"/>
                      <w:szCs w:val="21"/>
                    </w:rPr>
                    <w:t>81.0</w:t>
                  </w:r>
                </w:p>
              </w:tc>
              <w:tc>
                <w:tcPr>
                  <w:tcW w:w="1276" w:type="dxa"/>
                  <w:vAlign w:val="center"/>
                </w:tcPr>
                <w:p>
                  <w:pPr>
                    <w:pStyle w:val="52"/>
                    <w:jc w:val="center"/>
                    <w:rPr>
                      <w:sz w:val="21"/>
                      <w:szCs w:val="21"/>
                    </w:rPr>
                  </w:pPr>
                  <w:r>
                    <w:rPr>
                      <w:sz w:val="21"/>
                      <w:szCs w:val="21"/>
                    </w:rPr>
                    <w:t>67.0</w:t>
                  </w:r>
                </w:p>
              </w:tc>
              <w:tc>
                <w:tcPr>
                  <w:tcW w:w="1262" w:type="dxa"/>
                  <w:vAlign w:val="center"/>
                </w:tcPr>
                <w:p>
                  <w:pPr>
                    <w:pStyle w:val="52"/>
                    <w:jc w:val="center"/>
                    <w:rPr>
                      <w:sz w:val="21"/>
                      <w:szCs w:val="21"/>
                    </w:rPr>
                  </w:pPr>
                  <w:r>
                    <w:rPr>
                      <w:sz w:val="21"/>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红外切割机</w:t>
                  </w:r>
                </w:p>
              </w:tc>
              <w:tc>
                <w:tcPr>
                  <w:tcW w:w="709" w:type="dxa"/>
                  <w:vAlign w:val="center"/>
                </w:tcPr>
                <w:p>
                  <w:pPr>
                    <w:pStyle w:val="52"/>
                    <w:jc w:val="center"/>
                    <w:rPr>
                      <w:sz w:val="21"/>
                      <w:szCs w:val="21"/>
                    </w:rPr>
                  </w:pPr>
                  <w:r>
                    <w:rPr>
                      <w:rFonts w:hint="eastAsia"/>
                      <w:sz w:val="21"/>
                      <w:szCs w:val="21"/>
                    </w:rPr>
                    <w:t>3</w:t>
                  </w:r>
                </w:p>
              </w:tc>
              <w:tc>
                <w:tcPr>
                  <w:tcW w:w="1134" w:type="dxa"/>
                  <w:vAlign w:val="center"/>
                </w:tcPr>
                <w:p>
                  <w:pPr>
                    <w:pStyle w:val="52"/>
                    <w:jc w:val="center"/>
                    <w:rPr>
                      <w:sz w:val="21"/>
                      <w:szCs w:val="21"/>
                    </w:rPr>
                  </w:pPr>
                  <w:r>
                    <w:rPr>
                      <w:sz w:val="21"/>
                      <w:szCs w:val="21"/>
                    </w:rPr>
                    <w:t>99.8</w:t>
                  </w:r>
                </w:p>
              </w:tc>
              <w:tc>
                <w:tcPr>
                  <w:tcW w:w="850" w:type="dxa"/>
                  <w:vAlign w:val="center"/>
                </w:tcPr>
                <w:p>
                  <w:pPr>
                    <w:pStyle w:val="52"/>
                    <w:jc w:val="center"/>
                    <w:rPr>
                      <w:sz w:val="21"/>
                      <w:szCs w:val="21"/>
                    </w:rPr>
                  </w:pPr>
                  <w:r>
                    <w:rPr>
                      <w:sz w:val="21"/>
                      <w:szCs w:val="21"/>
                    </w:rPr>
                    <w:t>61.7</w:t>
                  </w:r>
                </w:p>
              </w:tc>
              <w:tc>
                <w:tcPr>
                  <w:tcW w:w="851" w:type="dxa"/>
                  <w:vAlign w:val="center"/>
                </w:tcPr>
                <w:p>
                  <w:pPr>
                    <w:pStyle w:val="52"/>
                    <w:jc w:val="center"/>
                    <w:rPr>
                      <w:sz w:val="21"/>
                      <w:szCs w:val="21"/>
                    </w:rPr>
                  </w:pPr>
                  <w:r>
                    <w:rPr>
                      <w:sz w:val="21"/>
                      <w:szCs w:val="21"/>
                    </w:rPr>
                    <w:t>63.5</w:t>
                  </w:r>
                </w:p>
              </w:tc>
              <w:tc>
                <w:tcPr>
                  <w:tcW w:w="709" w:type="dxa"/>
                  <w:vAlign w:val="center"/>
                </w:tcPr>
                <w:p>
                  <w:pPr>
                    <w:pStyle w:val="52"/>
                    <w:jc w:val="center"/>
                    <w:rPr>
                      <w:sz w:val="21"/>
                      <w:szCs w:val="21"/>
                    </w:rPr>
                  </w:pPr>
                  <w:r>
                    <w:rPr>
                      <w:sz w:val="21"/>
                      <w:szCs w:val="21"/>
                    </w:rPr>
                    <w:t>63.3</w:t>
                  </w:r>
                </w:p>
              </w:tc>
              <w:tc>
                <w:tcPr>
                  <w:tcW w:w="850" w:type="dxa"/>
                  <w:vAlign w:val="center"/>
                </w:tcPr>
                <w:p>
                  <w:pPr>
                    <w:pStyle w:val="52"/>
                    <w:jc w:val="center"/>
                    <w:rPr>
                      <w:sz w:val="21"/>
                      <w:szCs w:val="21"/>
                    </w:rPr>
                  </w:pPr>
                  <w:r>
                    <w:rPr>
                      <w:sz w:val="21"/>
                      <w:szCs w:val="21"/>
                    </w:rPr>
                    <w:t>73.8</w:t>
                  </w:r>
                </w:p>
              </w:tc>
              <w:tc>
                <w:tcPr>
                  <w:tcW w:w="1276" w:type="dxa"/>
                  <w:vAlign w:val="center"/>
                </w:tcPr>
                <w:p>
                  <w:pPr>
                    <w:pStyle w:val="52"/>
                    <w:jc w:val="center"/>
                    <w:rPr>
                      <w:sz w:val="21"/>
                      <w:szCs w:val="21"/>
                    </w:rPr>
                  </w:pPr>
                  <w:r>
                    <w:rPr>
                      <w:sz w:val="21"/>
                      <w:szCs w:val="21"/>
                    </w:rPr>
                    <w:t>59.8</w:t>
                  </w:r>
                </w:p>
              </w:tc>
              <w:tc>
                <w:tcPr>
                  <w:tcW w:w="1262" w:type="dxa"/>
                  <w:vAlign w:val="center"/>
                </w:tcPr>
                <w:p>
                  <w:pPr>
                    <w:pStyle w:val="52"/>
                    <w:jc w:val="center"/>
                    <w:rPr>
                      <w:sz w:val="21"/>
                      <w:szCs w:val="21"/>
                    </w:rPr>
                  </w:pPr>
                  <w:r>
                    <w:rPr>
                      <w:sz w:val="21"/>
                      <w:szCs w:val="21"/>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直曲磨边机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98.0</w:t>
                  </w:r>
                </w:p>
              </w:tc>
              <w:tc>
                <w:tcPr>
                  <w:tcW w:w="850" w:type="dxa"/>
                  <w:vAlign w:val="center"/>
                </w:tcPr>
                <w:p>
                  <w:pPr>
                    <w:pStyle w:val="52"/>
                    <w:jc w:val="center"/>
                    <w:rPr>
                      <w:sz w:val="21"/>
                      <w:szCs w:val="21"/>
                    </w:rPr>
                  </w:pPr>
                  <w:r>
                    <w:rPr>
                      <w:sz w:val="21"/>
                      <w:szCs w:val="21"/>
                    </w:rPr>
                    <w:t>61.7</w:t>
                  </w:r>
                </w:p>
              </w:tc>
              <w:tc>
                <w:tcPr>
                  <w:tcW w:w="851" w:type="dxa"/>
                  <w:vAlign w:val="center"/>
                </w:tcPr>
                <w:p>
                  <w:pPr>
                    <w:pStyle w:val="52"/>
                    <w:jc w:val="center"/>
                    <w:rPr>
                      <w:sz w:val="21"/>
                      <w:szCs w:val="21"/>
                    </w:rPr>
                  </w:pPr>
                  <w:r>
                    <w:rPr>
                      <w:sz w:val="21"/>
                      <w:szCs w:val="21"/>
                    </w:rPr>
                    <w:t>62.2</w:t>
                  </w:r>
                </w:p>
              </w:tc>
              <w:tc>
                <w:tcPr>
                  <w:tcW w:w="709" w:type="dxa"/>
                  <w:vAlign w:val="center"/>
                </w:tcPr>
                <w:p>
                  <w:pPr>
                    <w:pStyle w:val="52"/>
                    <w:jc w:val="center"/>
                    <w:rPr>
                      <w:sz w:val="21"/>
                      <w:szCs w:val="21"/>
                    </w:rPr>
                  </w:pPr>
                  <w:r>
                    <w:rPr>
                      <w:sz w:val="21"/>
                      <w:szCs w:val="21"/>
                    </w:rPr>
                    <w:t>69.7</w:t>
                  </w:r>
                </w:p>
              </w:tc>
              <w:tc>
                <w:tcPr>
                  <w:tcW w:w="850" w:type="dxa"/>
                  <w:vAlign w:val="center"/>
                </w:tcPr>
                <w:p>
                  <w:pPr>
                    <w:pStyle w:val="52"/>
                    <w:jc w:val="center"/>
                    <w:rPr>
                      <w:sz w:val="21"/>
                      <w:szCs w:val="21"/>
                    </w:rPr>
                  </w:pPr>
                  <w:r>
                    <w:rPr>
                      <w:sz w:val="21"/>
                      <w:szCs w:val="21"/>
                    </w:rPr>
                    <w:t>57.3</w:t>
                  </w:r>
                </w:p>
              </w:tc>
              <w:tc>
                <w:tcPr>
                  <w:tcW w:w="1276" w:type="dxa"/>
                  <w:vAlign w:val="center"/>
                </w:tcPr>
                <w:p>
                  <w:pPr>
                    <w:pStyle w:val="52"/>
                    <w:jc w:val="center"/>
                    <w:rPr>
                      <w:sz w:val="21"/>
                      <w:szCs w:val="21"/>
                    </w:rPr>
                  </w:pPr>
                  <w:r>
                    <w:rPr>
                      <w:sz w:val="21"/>
                      <w:szCs w:val="21"/>
                    </w:rPr>
                    <w:t>52.0</w:t>
                  </w:r>
                </w:p>
              </w:tc>
              <w:tc>
                <w:tcPr>
                  <w:tcW w:w="1262" w:type="dxa"/>
                  <w:vAlign w:val="center"/>
                </w:tcPr>
                <w:p>
                  <w:pPr>
                    <w:pStyle w:val="52"/>
                    <w:jc w:val="center"/>
                    <w:rPr>
                      <w:sz w:val="21"/>
                      <w:szCs w:val="21"/>
                    </w:rPr>
                  </w:pPr>
                  <w:r>
                    <w:rPr>
                      <w:sz w:val="21"/>
                      <w:szCs w:val="21"/>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磨光机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93.0</w:t>
                  </w:r>
                </w:p>
              </w:tc>
              <w:tc>
                <w:tcPr>
                  <w:tcW w:w="850" w:type="dxa"/>
                  <w:vAlign w:val="center"/>
                </w:tcPr>
                <w:p>
                  <w:pPr>
                    <w:pStyle w:val="52"/>
                    <w:jc w:val="center"/>
                    <w:rPr>
                      <w:sz w:val="21"/>
                      <w:szCs w:val="21"/>
                    </w:rPr>
                  </w:pPr>
                  <w:r>
                    <w:rPr>
                      <w:sz w:val="21"/>
                      <w:szCs w:val="21"/>
                    </w:rPr>
                    <w:t>55.7</w:t>
                  </w:r>
                </w:p>
              </w:tc>
              <w:tc>
                <w:tcPr>
                  <w:tcW w:w="851" w:type="dxa"/>
                  <w:vAlign w:val="center"/>
                </w:tcPr>
                <w:p>
                  <w:pPr>
                    <w:pStyle w:val="52"/>
                    <w:jc w:val="center"/>
                    <w:rPr>
                      <w:sz w:val="21"/>
                      <w:szCs w:val="21"/>
                    </w:rPr>
                  </w:pPr>
                  <w:r>
                    <w:rPr>
                      <w:sz w:val="21"/>
                      <w:szCs w:val="21"/>
                    </w:rPr>
                    <w:t>56.1</w:t>
                  </w:r>
                </w:p>
              </w:tc>
              <w:tc>
                <w:tcPr>
                  <w:tcW w:w="709" w:type="dxa"/>
                  <w:vAlign w:val="center"/>
                </w:tcPr>
                <w:p>
                  <w:pPr>
                    <w:pStyle w:val="52"/>
                    <w:jc w:val="center"/>
                    <w:rPr>
                      <w:sz w:val="21"/>
                      <w:szCs w:val="21"/>
                    </w:rPr>
                  </w:pPr>
                  <w:r>
                    <w:rPr>
                      <w:sz w:val="21"/>
                      <w:szCs w:val="21"/>
                    </w:rPr>
                    <w:t>56.9</w:t>
                  </w:r>
                </w:p>
              </w:tc>
              <w:tc>
                <w:tcPr>
                  <w:tcW w:w="850" w:type="dxa"/>
                  <w:vAlign w:val="center"/>
                </w:tcPr>
                <w:p>
                  <w:pPr>
                    <w:pStyle w:val="52"/>
                    <w:jc w:val="center"/>
                    <w:rPr>
                      <w:sz w:val="21"/>
                      <w:szCs w:val="21"/>
                    </w:rPr>
                  </w:pPr>
                  <w:r>
                    <w:rPr>
                      <w:sz w:val="21"/>
                      <w:szCs w:val="21"/>
                    </w:rPr>
                    <w:t>65.0</w:t>
                  </w:r>
                </w:p>
              </w:tc>
              <w:tc>
                <w:tcPr>
                  <w:tcW w:w="1276" w:type="dxa"/>
                  <w:vAlign w:val="center"/>
                </w:tcPr>
                <w:p>
                  <w:pPr>
                    <w:pStyle w:val="52"/>
                    <w:jc w:val="center"/>
                    <w:rPr>
                      <w:sz w:val="21"/>
                      <w:szCs w:val="21"/>
                    </w:rPr>
                  </w:pPr>
                  <w:r>
                    <w:rPr>
                      <w:sz w:val="21"/>
                      <w:szCs w:val="21"/>
                    </w:rPr>
                    <w:t>52.6</w:t>
                  </w:r>
                </w:p>
              </w:tc>
              <w:tc>
                <w:tcPr>
                  <w:tcW w:w="1262" w:type="dxa"/>
                  <w:vAlign w:val="center"/>
                </w:tcPr>
                <w:p>
                  <w:pPr>
                    <w:pStyle w:val="52"/>
                    <w:jc w:val="center"/>
                    <w:rPr>
                      <w:sz w:val="21"/>
                      <w:szCs w:val="21"/>
                    </w:rPr>
                  </w:pPr>
                  <w:r>
                    <w:rPr>
                      <w:sz w:val="21"/>
                      <w:szCs w:val="21"/>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雕刻机</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93.0</w:t>
                  </w:r>
                </w:p>
              </w:tc>
              <w:tc>
                <w:tcPr>
                  <w:tcW w:w="850" w:type="dxa"/>
                  <w:vAlign w:val="center"/>
                </w:tcPr>
                <w:p>
                  <w:pPr>
                    <w:pStyle w:val="52"/>
                    <w:jc w:val="center"/>
                    <w:rPr>
                      <w:sz w:val="21"/>
                      <w:szCs w:val="21"/>
                    </w:rPr>
                  </w:pPr>
                  <w:r>
                    <w:rPr>
                      <w:sz w:val="21"/>
                      <w:szCs w:val="21"/>
                    </w:rPr>
                    <w:t>56.5</w:t>
                  </w:r>
                </w:p>
              </w:tc>
              <w:tc>
                <w:tcPr>
                  <w:tcW w:w="851" w:type="dxa"/>
                  <w:vAlign w:val="center"/>
                </w:tcPr>
                <w:p>
                  <w:pPr>
                    <w:pStyle w:val="52"/>
                    <w:jc w:val="center"/>
                    <w:rPr>
                      <w:sz w:val="21"/>
                      <w:szCs w:val="21"/>
                    </w:rPr>
                  </w:pPr>
                  <w:r>
                    <w:rPr>
                      <w:sz w:val="21"/>
                      <w:szCs w:val="21"/>
                    </w:rPr>
                    <w:t>55.4</w:t>
                  </w:r>
                </w:p>
              </w:tc>
              <w:tc>
                <w:tcPr>
                  <w:tcW w:w="709" w:type="dxa"/>
                  <w:vAlign w:val="center"/>
                </w:tcPr>
                <w:p>
                  <w:pPr>
                    <w:pStyle w:val="52"/>
                    <w:jc w:val="center"/>
                    <w:rPr>
                      <w:sz w:val="21"/>
                      <w:szCs w:val="21"/>
                    </w:rPr>
                  </w:pPr>
                  <w:r>
                    <w:rPr>
                      <w:sz w:val="21"/>
                      <w:szCs w:val="21"/>
                    </w:rPr>
                    <w:t>56.9</w:t>
                  </w:r>
                </w:p>
              </w:tc>
              <w:tc>
                <w:tcPr>
                  <w:tcW w:w="850" w:type="dxa"/>
                  <w:vAlign w:val="center"/>
                </w:tcPr>
                <w:p>
                  <w:pPr>
                    <w:pStyle w:val="52"/>
                    <w:jc w:val="center"/>
                    <w:rPr>
                      <w:sz w:val="21"/>
                      <w:szCs w:val="21"/>
                    </w:rPr>
                  </w:pPr>
                  <w:r>
                    <w:rPr>
                      <w:sz w:val="21"/>
                      <w:szCs w:val="21"/>
                    </w:rPr>
                    <w:t>65.0</w:t>
                  </w:r>
                </w:p>
              </w:tc>
              <w:tc>
                <w:tcPr>
                  <w:tcW w:w="1276" w:type="dxa"/>
                  <w:vAlign w:val="center"/>
                </w:tcPr>
                <w:p>
                  <w:pPr>
                    <w:pStyle w:val="52"/>
                    <w:jc w:val="center"/>
                    <w:rPr>
                      <w:sz w:val="21"/>
                      <w:szCs w:val="21"/>
                    </w:rPr>
                  </w:pPr>
                  <w:r>
                    <w:rPr>
                      <w:sz w:val="21"/>
                      <w:szCs w:val="21"/>
                    </w:rPr>
                    <w:t>52.2</w:t>
                  </w:r>
                </w:p>
              </w:tc>
              <w:tc>
                <w:tcPr>
                  <w:tcW w:w="1262" w:type="dxa"/>
                  <w:vAlign w:val="center"/>
                </w:tcPr>
                <w:p>
                  <w:pPr>
                    <w:pStyle w:val="52"/>
                    <w:jc w:val="center"/>
                    <w:rPr>
                      <w:sz w:val="21"/>
                      <w:szCs w:val="21"/>
                    </w:rPr>
                  </w:pPr>
                  <w:r>
                    <w:rPr>
                      <w:sz w:val="21"/>
                      <w:szCs w:val="21"/>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行车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73.0</w:t>
                  </w:r>
                </w:p>
              </w:tc>
              <w:tc>
                <w:tcPr>
                  <w:tcW w:w="850" w:type="dxa"/>
                  <w:vAlign w:val="center"/>
                </w:tcPr>
                <w:p>
                  <w:pPr>
                    <w:pStyle w:val="52"/>
                    <w:jc w:val="center"/>
                    <w:rPr>
                      <w:sz w:val="21"/>
                      <w:szCs w:val="21"/>
                    </w:rPr>
                  </w:pPr>
                  <w:r>
                    <w:rPr>
                      <w:sz w:val="21"/>
                      <w:szCs w:val="21"/>
                    </w:rPr>
                    <w:t>34.2</w:t>
                  </w:r>
                </w:p>
              </w:tc>
              <w:tc>
                <w:tcPr>
                  <w:tcW w:w="851" w:type="dxa"/>
                  <w:vAlign w:val="center"/>
                </w:tcPr>
                <w:p>
                  <w:pPr>
                    <w:pStyle w:val="52"/>
                    <w:jc w:val="center"/>
                    <w:rPr>
                      <w:sz w:val="21"/>
                      <w:szCs w:val="21"/>
                    </w:rPr>
                  </w:pPr>
                  <w:r>
                    <w:rPr>
                      <w:sz w:val="21"/>
                      <w:szCs w:val="21"/>
                    </w:rPr>
                    <w:t>37.9</w:t>
                  </w:r>
                </w:p>
              </w:tc>
              <w:tc>
                <w:tcPr>
                  <w:tcW w:w="709" w:type="dxa"/>
                  <w:vAlign w:val="center"/>
                </w:tcPr>
                <w:p>
                  <w:pPr>
                    <w:pStyle w:val="52"/>
                    <w:jc w:val="center"/>
                    <w:rPr>
                      <w:sz w:val="21"/>
                      <w:szCs w:val="21"/>
                    </w:rPr>
                  </w:pPr>
                  <w:r>
                    <w:rPr>
                      <w:sz w:val="21"/>
                      <w:szCs w:val="21"/>
                    </w:rPr>
                    <w:t>36.6</w:t>
                  </w:r>
                </w:p>
              </w:tc>
              <w:tc>
                <w:tcPr>
                  <w:tcW w:w="850" w:type="dxa"/>
                  <w:vAlign w:val="center"/>
                </w:tcPr>
                <w:p>
                  <w:pPr>
                    <w:pStyle w:val="52"/>
                    <w:jc w:val="center"/>
                    <w:rPr>
                      <w:sz w:val="21"/>
                      <w:szCs w:val="21"/>
                    </w:rPr>
                  </w:pPr>
                  <w:r>
                    <w:rPr>
                      <w:sz w:val="21"/>
                      <w:szCs w:val="21"/>
                    </w:rPr>
                    <w:t>46.2</w:t>
                  </w:r>
                </w:p>
              </w:tc>
              <w:tc>
                <w:tcPr>
                  <w:tcW w:w="1276" w:type="dxa"/>
                  <w:vAlign w:val="center"/>
                </w:tcPr>
                <w:p>
                  <w:pPr>
                    <w:pStyle w:val="52"/>
                    <w:jc w:val="center"/>
                    <w:rPr>
                      <w:sz w:val="21"/>
                      <w:szCs w:val="21"/>
                    </w:rPr>
                  </w:pPr>
                  <w:r>
                    <w:rPr>
                      <w:sz w:val="21"/>
                      <w:szCs w:val="21"/>
                    </w:rPr>
                    <w:t>32.8</w:t>
                  </w:r>
                </w:p>
              </w:tc>
              <w:tc>
                <w:tcPr>
                  <w:tcW w:w="1262" w:type="dxa"/>
                  <w:vAlign w:val="center"/>
                </w:tcPr>
                <w:p>
                  <w:pPr>
                    <w:pStyle w:val="52"/>
                    <w:jc w:val="center"/>
                    <w:rPr>
                      <w:sz w:val="21"/>
                      <w:szCs w:val="21"/>
                    </w:rPr>
                  </w:pPr>
                  <w:r>
                    <w:rPr>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叉车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78.0</w:t>
                  </w:r>
                </w:p>
              </w:tc>
              <w:tc>
                <w:tcPr>
                  <w:tcW w:w="850" w:type="dxa"/>
                  <w:vAlign w:val="center"/>
                </w:tcPr>
                <w:p>
                  <w:pPr>
                    <w:pStyle w:val="52"/>
                    <w:jc w:val="center"/>
                    <w:rPr>
                      <w:sz w:val="21"/>
                      <w:szCs w:val="21"/>
                    </w:rPr>
                  </w:pPr>
                  <w:r>
                    <w:rPr>
                      <w:sz w:val="21"/>
                      <w:szCs w:val="21"/>
                    </w:rPr>
                    <w:t>39.4</w:t>
                  </w:r>
                </w:p>
              </w:tc>
              <w:tc>
                <w:tcPr>
                  <w:tcW w:w="851" w:type="dxa"/>
                  <w:vAlign w:val="center"/>
                </w:tcPr>
                <w:p>
                  <w:pPr>
                    <w:pStyle w:val="52"/>
                    <w:jc w:val="center"/>
                    <w:rPr>
                      <w:sz w:val="21"/>
                      <w:szCs w:val="21"/>
                    </w:rPr>
                  </w:pPr>
                  <w:r>
                    <w:rPr>
                      <w:sz w:val="21"/>
                      <w:szCs w:val="21"/>
                    </w:rPr>
                    <w:t>42.4</w:t>
                  </w:r>
                </w:p>
              </w:tc>
              <w:tc>
                <w:tcPr>
                  <w:tcW w:w="709" w:type="dxa"/>
                  <w:vAlign w:val="center"/>
                </w:tcPr>
                <w:p>
                  <w:pPr>
                    <w:pStyle w:val="52"/>
                    <w:jc w:val="center"/>
                    <w:rPr>
                      <w:sz w:val="21"/>
                      <w:szCs w:val="21"/>
                    </w:rPr>
                  </w:pPr>
                  <w:r>
                    <w:rPr>
                      <w:sz w:val="21"/>
                      <w:szCs w:val="21"/>
                    </w:rPr>
                    <w:t>44.6</w:t>
                  </w:r>
                </w:p>
              </w:tc>
              <w:tc>
                <w:tcPr>
                  <w:tcW w:w="850" w:type="dxa"/>
                  <w:vAlign w:val="center"/>
                </w:tcPr>
                <w:p>
                  <w:pPr>
                    <w:pStyle w:val="52"/>
                    <w:jc w:val="center"/>
                    <w:rPr>
                      <w:sz w:val="21"/>
                      <w:szCs w:val="21"/>
                    </w:rPr>
                  </w:pPr>
                  <w:r>
                    <w:rPr>
                      <w:sz w:val="21"/>
                      <w:szCs w:val="21"/>
                    </w:rPr>
                    <w:t>45.5</w:t>
                  </w:r>
                </w:p>
              </w:tc>
              <w:tc>
                <w:tcPr>
                  <w:tcW w:w="1276" w:type="dxa"/>
                  <w:vAlign w:val="center"/>
                </w:tcPr>
                <w:p>
                  <w:pPr>
                    <w:pStyle w:val="52"/>
                    <w:jc w:val="center"/>
                    <w:rPr>
                      <w:sz w:val="21"/>
                      <w:szCs w:val="21"/>
                    </w:rPr>
                  </w:pPr>
                  <w:r>
                    <w:rPr>
                      <w:sz w:val="21"/>
                      <w:szCs w:val="21"/>
                    </w:rPr>
                    <w:t>36.4</w:t>
                  </w:r>
                </w:p>
              </w:tc>
              <w:tc>
                <w:tcPr>
                  <w:tcW w:w="1262" w:type="dxa"/>
                  <w:vAlign w:val="center"/>
                </w:tcPr>
                <w:p>
                  <w:pPr>
                    <w:pStyle w:val="52"/>
                    <w:jc w:val="center"/>
                    <w:rPr>
                      <w:sz w:val="21"/>
                      <w:szCs w:val="21"/>
                    </w:rPr>
                  </w:pPr>
                  <w:r>
                    <w:rPr>
                      <w:sz w:val="21"/>
                      <w:szCs w:val="21"/>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进料斗</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sz w:val="21"/>
                      <w:szCs w:val="21"/>
                    </w:rPr>
                    <w:t>90.0</w:t>
                  </w:r>
                </w:p>
              </w:tc>
              <w:tc>
                <w:tcPr>
                  <w:tcW w:w="850" w:type="dxa"/>
                  <w:vAlign w:val="center"/>
                </w:tcPr>
                <w:p>
                  <w:pPr>
                    <w:pStyle w:val="52"/>
                    <w:jc w:val="center"/>
                    <w:rPr>
                      <w:sz w:val="21"/>
                      <w:szCs w:val="21"/>
                    </w:rPr>
                  </w:pPr>
                  <w:r>
                    <w:rPr>
                      <w:sz w:val="21"/>
                      <w:szCs w:val="21"/>
                    </w:rPr>
                    <w:t>59.9</w:t>
                  </w:r>
                </w:p>
              </w:tc>
              <w:tc>
                <w:tcPr>
                  <w:tcW w:w="851" w:type="dxa"/>
                  <w:vAlign w:val="center"/>
                </w:tcPr>
                <w:p>
                  <w:pPr>
                    <w:pStyle w:val="52"/>
                    <w:jc w:val="center"/>
                    <w:rPr>
                      <w:sz w:val="21"/>
                      <w:szCs w:val="21"/>
                    </w:rPr>
                  </w:pPr>
                  <w:r>
                    <w:rPr>
                      <w:sz w:val="21"/>
                      <w:szCs w:val="21"/>
                    </w:rPr>
                    <w:t>49.0</w:t>
                  </w:r>
                </w:p>
              </w:tc>
              <w:tc>
                <w:tcPr>
                  <w:tcW w:w="709" w:type="dxa"/>
                  <w:vAlign w:val="center"/>
                </w:tcPr>
                <w:p>
                  <w:pPr>
                    <w:pStyle w:val="52"/>
                    <w:jc w:val="center"/>
                    <w:rPr>
                      <w:sz w:val="21"/>
                      <w:szCs w:val="21"/>
                    </w:rPr>
                  </w:pPr>
                  <w:r>
                    <w:rPr>
                      <w:sz w:val="21"/>
                      <w:szCs w:val="21"/>
                    </w:rPr>
                    <w:t>53.0</w:t>
                  </w:r>
                </w:p>
              </w:tc>
              <w:tc>
                <w:tcPr>
                  <w:tcW w:w="850" w:type="dxa"/>
                  <w:vAlign w:val="center"/>
                </w:tcPr>
                <w:p>
                  <w:pPr>
                    <w:pStyle w:val="52"/>
                    <w:jc w:val="center"/>
                    <w:rPr>
                      <w:sz w:val="21"/>
                      <w:szCs w:val="21"/>
                    </w:rPr>
                  </w:pPr>
                  <w:r>
                    <w:rPr>
                      <w:sz w:val="21"/>
                      <w:szCs w:val="21"/>
                    </w:rPr>
                    <w:t>64.0</w:t>
                  </w:r>
                </w:p>
              </w:tc>
              <w:tc>
                <w:tcPr>
                  <w:tcW w:w="1276" w:type="dxa"/>
                  <w:vAlign w:val="center"/>
                </w:tcPr>
                <w:p>
                  <w:pPr>
                    <w:pStyle w:val="52"/>
                    <w:jc w:val="center"/>
                    <w:rPr>
                      <w:sz w:val="21"/>
                      <w:szCs w:val="21"/>
                    </w:rPr>
                  </w:pPr>
                  <w:r>
                    <w:rPr>
                      <w:sz w:val="21"/>
                      <w:szCs w:val="21"/>
                    </w:rPr>
                    <w:t>48.1</w:t>
                  </w:r>
                </w:p>
              </w:tc>
              <w:tc>
                <w:tcPr>
                  <w:tcW w:w="1262" w:type="dxa"/>
                  <w:vAlign w:val="center"/>
                </w:tcPr>
                <w:p>
                  <w:pPr>
                    <w:pStyle w:val="52"/>
                    <w:jc w:val="center"/>
                    <w:rPr>
                      <w:sz w:val="21"/>
                      <w:szCs w:val="21"/>
                    </w:rPr>
                  </w:pPr>
                  <w:r>
                    <w:rPr>
                      <w:sz w:val="21"/>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sz w:val="21"/>
                      <w:szCs w:val="21"/>
                    </w:rPr>
                    <w:t>破碎机</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sz w:val="21"/>
                      <w:szCs w:val="21"/>
                    </w:rPr>
                    <w:t>99.5</w:t>
                  </w:r>
                </w:p>
              </w:tc>
              <w:tc>
                <w:tcPr>
                  <w:tcW w:w="850" w:type="dxa"/>
                  <w:vAlign w:val="center"/>
                </w:tcPr>
                <w:p>
                  <w:pPr>
                    <w:pStyle w:val="52"/>
                    <w:jc w:val="center"/>
                    <w:rPr>
                      <w:sz w:val="21"/>
                      <w:szCs w:val="21"/>
                    </w:rPr>
                  </w:pPr>
                  <w:r>
                    <w:rPr>
                      <w:sz w:val="21"/>
                      <w:szCs w:val="21"/>
                    </w:rPr>
                    <w:t>69.4</w:t>
                  </w:r>
                </w:p>
              </w:tc>
              <w:tc>
                <w:tcPr>
                  <w:tcW w:w="851" w:type="dxa"/>
                  <w:vAlign w:val="center"/>
                </w:tcPr>
                <w:p>
                  <w:pPr>
                    <w:pStyle w:val="52"/>
                    <w:jc w:val="center"/>
                    <w:rPr>
                      <w:sz w:val="21"/>
                      <w:szCs w:val="21"/>
                    </w:rPr>
                  </w:pPr>
                  <w:r>
                    <w:rPr>
                      <w:sz w:val="21"/>
                      <w:szCs w:val="21"/>
                    </w:rPr>
                    <w:t>58.5</w:t>
                  </w:r>
                </w:p>
              </w:tc>
              <w:tc>
                <w:tcPr>
                  <w:tcW w:w="709" w:type="dxa"/>
                  <w:vAlign w:val="center"/>
                </w:tcPr>
                <w:p>
                  <w:pPr>
                    <w:pStyle w:val="52"/>
                    <w:jc w:val="center"/>
                    <w:rPr>
                      <w:sz w:val="21"/>
                      <w:szCs w:val="21"/>
                    </w:rPr>
                  </w:pPr>
                  <w:r>
                    <w:rPr>
                      <w:sz w:val="21"/>
                      <w:szCs w:val="21"/>
                    </w:rPr>
                    <w:t>63.9</w:t>
                  </w:r>
                </w:p>
              </w:tc>
              <w:tc>
                <w:tcPr>
                  <w:tcW w:w="850" w:type="dxa"/>
                  <w:vAlign w:val="center"/>
                </w:tcPr>
                <w:p>
                  <w:pPr>
                    <w:pStyle w:val="52"/>
                    <w:jc w:val="center"/>
                    <w:rPr>
                      <w:sz w:val="21"/>
                      <w:szCs w:val="21"/>
                    </w:rPr>
                  </w:pPr>
                  <w:r>
                    <w:rPr>
                      <w:sz w:val="21"/>
                      <w:szCs w:val="21"/>
                    </w:rPr>
                    <w:t>70.0</w:t>
                  </w:r>
                </w:p>
              </w:tc>
              <w:tc>
                <w:tcPr>
                  <w:tcW w:w="1276" w:type="dxa"/>
                  <w:vAlign w:val="center"/>
                </w:tcPr>
                <w:p>
                  <w:pPr>
                    <w:pStyle w:val="52"/>
                    <w:jc w:val="center"/>
                    <w:rPr>
                      <w:sz w:val="21"/>
                      <w:szCs w:val="21"/>
                    </w:rPr>
                  </w:pPr>
                  <w:r>
                    <w:rPr>
                      <w:sz w:val="21"/>
                      <w:szCs w:val="21"/>
                    </w:rPr>
                    <w:t>57.0</w:t>
                  </w:r>
                </w:p>
              </w:tc>
              <w:tc>
                <w:tcPr>
                  <w:tcW w:w="1262" w:type="dxa"/>
                  <w:vAlign w:val="center"/>
                </w:tcPr>
                <w:p>
                  <w:pPr>
                    <w:pStyle w:val="52"/>
                    <w:jc w:val="center"/>
                    <w:rPr>
                      <w:sz w:val="21"/>
                      <w:szCs w:val="21"/>
                    </w:rPr>
                  </w:pPr>
                  <w:r>
                    <w:rPr>
                      <w:sz w:val="21"/>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振动筛</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sz w:val="21"/>
                      <w:szCs w:val="21"/>
                    </w:rPr>
                    <w:t>101.5</w:t>
                  </w:r>
                </w:p>
              </w:tc>
              <w:tc>
                <w:tcPr>
                  <w:tcW w:w="850" w:type="dxa"/>
                  <w:vAlign w:val="center"/>
                </w:tcPr>
                <w:p>
                  <w:pPr>
                    <w:pStyle w:val="52"/>
                    <w:jc w:val="center"/>
                    <w:rPr>
                      <w:sz w:val="21"/>
                      <w:szCs w:val="21"/>
                    </w:rPr>
                  </w:pPr>
                  <w:r>
                    <w:rPr>
                      <w:sz w:val="21"/>
                      <w:szCs w:val="21"/>
                    </w:rPr>
                    <w:t>71.4</w:t>
                  </w:r>
                </w:p>
              </w:tc>
              <w:tc>
                <w:tcPr>
                  <w:tcW w:w="851" w:type="dxa"/>
                  <w:vAlign w:val="center"/>
                </w:tcPr>
                <w:p>
                  <w:pPr>
                    <w:pStyle w:val="52"/>
                    <w:jc w:val="center"/>
                    <w:rPr>
                      <w:sz w:val="21"/>
                      <w:szCs w:val="21"/>
                    </w:rPr>
                  </w:pPr>
                  <w:r>
                    <w:rPr>
                      <w:sz w:val="21"/>
                      <w:szCs w:val="21"/>
                    </w:rPr>
                    <w:t>60.5</w:t>
                  </w:r>
                </w:p>
              </w:tc>
              <w:tc>
                <w:tcPr>
                  <w:tcW w:w="709" w:type="dxa"/>
                  <w:vAlign w:val="center"/>
                </w:tcPr>
                <w:p>
                  <w:pPr>
                    <w:pStyle w:val="52"/>
                    <w:jc w:val="center"/>
                    <w:rPr>
                      <w:sz w:val="21"/>
                      <w:szCs w:val="21"/>
                    </w:rPr>
                  </w:pPr>
                  <w:r>
                    <w:rPr>
                      <w:sz w:val="21"/>
                      <w:szCs w:val="21"/>
                    </w:rPr>
                    <w:t>67.5</w:t>
                  </w:r>
                </w:p>
              </w:tc>
              <w:tc>
                <w:tcPr>
                  <w:tcW w:w="850" w:type="dxa"/>
                  <w:vAlign w:val="center"/>
                </w:tcPr>
                <w:p>
                  <w:pPr>
                    <w:pStyle w:val="52"/>
                    <w:jc w:val="center"/>
                    <w:rPr>
                      <w:sz w:val="21"/>
                      <w:szCs w:val="21"/>
                    </w:rPr>
                  </w:pPr>
                  <w:r>
                    <w:rPr>
                      <w:sz w:val="21"/>
                      <w:szCs w:val="21"/>
                    </w:rPr>
                    <w:t>69.5</w:t>
                  </w:r>
                </w:p>
              </w:tc>
              <w:tc>
                <w:tcPr>
                  <w:tcW w:w="1276" w:type="dxa"/>
                  <w:vAlign w:val="center"/>
                </w:tcPr>
                <w:p>
                  <w:pPr>
                    <w:pStyle w:val="52"/>
                    <w:jc w:val="center"/>
                    <w:rPr>
                      <w:sz w:val="21"/>
                      <w:szCs w:val="21"/>
                    </w:rPr>
                  </w:pPr>
                  <w:r>
                    <w:rPr>
                      <w:sz w:val="21"/>
                      <w:szCs w:val="21"/>
                    </w:rPr>
                    <w:t>58.5</w:t>
                  </w:r>
                </w:p>
              </w:tc>
              <w:tc>
                <w:tcPr>
                  <w:tcW w:w="1262" w:type="dxa"/>
                  <w:vAlign w:val="center"/>
                </w:tcPr>
                <w:p>
                  <w:pPr>
                    <w:pStyle w:val="52"/>
                    <w:jc w:val="center"/>
                    <w:rPr>
                      <w:sz w:val="21"/>
                      <w:szCs w:val="21"/>
                    </w:rPr>
                  </w:pPr>
                  <w:r>
                    <w:rPr>
                      <w:sz w:val="21"/>
                      <w:szCs w:val="21"/>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装载车</w:t>
                  </w:r>
                </w:p>
              </w:tc>
              <w:tc>
                <w:tcPr>
                  <w:tcW w:w="709" w:type="dxa"/>
                  <w:vAlign w:val="center"/>
                </w:tcPr>
                <w:p>
                  <w:pPr>
                    <w:pStyle w:val="52"/>
                    <w:jc w:val="center"/>
                    <w:rPr>
                      <w:sz w:val="21"/>
                      <w:szCs w:val="21"/>
                    </w:rPr>
                  </w:pPr>
                  <w:r>
                    <w:rPr>
                      <w:rFonts w:hint="eastAsia"/>
                      <w:sz w:val="21"/>
                      <w:szCs w:val="21"/>
                    </w:rPr>
                    <w:t>2</w:t>
                  </w:r>
                </w:p>
              </w:tc>
              <w:tc>
                <w:tcPr>
                  <w:tcW w:w="1134" w:type="dxa"/>
                  <w:vAlign w:val="center"/>
                </w:tcPr>
                <w:p>
                  <w:pPr>
                    <w:pStyle w:val="52"/>
                    <w:jc w:val="center"/>
                    <w:rPr>
                      <w:sz w:val="21"/>
                      <w:szCs w:val="21"/>
                    </w:rPr>
                  </w:pPr>
                  <w:r>
                    <w:rPr>
                      <w:sz w:val="21"/>
                      <w:szCs w:val="21"/>
                    </w:rPr>
                    <w:t>88.0</w:t>
                  </w:r>
                </w:p>
              </w:tc>
              <w:tc>
                <w:tcPr>
                  <w:tcW w:w="850" w:type="dxa"/>
                  <w:vAlign w:val="center"/>
                </w:tcPr>
                <w:p>
                  <w:pPr>
                    <w:pStyle w:val="52"/>
                    <w:jc w:val="center"/>
                    <w:rPr>
                      <w:sz w:val="21"/>
                      <w:szCs w:val="21"/>
                    </w:rPr>
                  </w:pPr>
                  <w:r>
                    <w:rPr>
                      <w:sz w:val="21"/>
                      <w:szCs w:val="21"/>
                    </w:rPr>
                    <w:t>58.5</w:t>
                  </w:r>
                </w:p>
              </w:tc>
              <w:tc>
                <w:tcPr>
                  <w:tcW w:w="851" w:type="dxa"/>
                  <w:vAlign w:val="center"/>
                </w:tcPr>
                <w:p>
                  <w:pPr>
                    <w:pStyle w:val="52"/>
                    <w:jc w:val="center"/>
                    <w:rPr>
                      <w:sz w:val="21"/>
                      <w:szCs w:val="21"/>
                    </w:rPr>
                  </w:pPr>
                  <w:r>
                    <w:rPr>
                      <w:sz w:val="21"/>
                      <w:szCs w:val="21"/>
                    </w:rPr>
                    <w:t>48.9</w:t>
                  </w:r>
                </w:p>
              </w:tc>
              <w:tc>
                <w:tcPr>
                  <w:tcW w:w="709" w:type="dxa"/>
                  <w:vAlign w:val="center"/>
                </w:tcPr>
                <w:p>
                  <w:pPr>
                    <w:pStyle w:val="52"/>
                    <w:jc w:val="center"/>
                    <w:rPr>
                      <w:sz w:val="21"/>
                      <w:szCs w:val="21"/>
                    </w:rPr>
                  </w:pPr>
                  <w:r>
                    <w:rPr>
                      <w:sz w:val="21"/>
                      <w:szCs w:val="21"/>
                    </w:rPr>
                    <w:t>62.0</w:t>
                  </w:r>
                </w:p>
              </w:tc>
              <w:tc>
                <w:tcPr>
                  <w:tcW w:w="850" w:type="dxa"/>
                  <w:vAlign w:val="center"/>
                </w:tcPr>
                <w:p>
                  <w:pPr>
                    <w:pStyle w:val="52"/>
                    <w:jc w:val="center"/>
                    <w:rPr>
                      <w:sz w:val="21"/>
                      <w:szCs w:val="21"/>
                    </w:rPr>
                  </w:pPr>
                  <w:r>
                    <w:rPr>
                      <w:sz w:val="21"/>
                      <w:szCs w:val="21"/>
                    </w:rPr>
                    <w:t>51.7</w:t>
                  </w:r>
                </w:p>
              </w:tc>
              <w:tc>
                <w:tcPr>
                  <w:tcW w:w="1276" w:type="dxa"/>
                  <w:vAlign w:val="center"/>
                </w:tcPr>
                <w:p>
                  <w:pPr>
                    <w:pStyle w:val="52"/>
                    <w:jc w:val="center"/>
                    <w:rPr>
                      <w:sz w:val="21"/>
                      <w:szCs w:val="21"/>
                    </w:rPr>
                  </w:pPr>
                  <w:r>
                    <w:rPr>
                      <w:sz w:val="21"/>
                      <w:szCs w:val="21"/>
                    </w:rPr>
                    <w:t>43.9</w:t>
                  </w:r>
                </w:p>
              </w:tc>
              <w:tc>
                <w:tcPr>
                  <w:tcW w:w="1262" w:type="dxa"/>
                  <w:vAlign w:val="center"/>
                </w:tcPr>
                <w:p>
                  <w:pPr>
                    <w:pStyle w:val="52"/>
                    <w:jc w:val="center"/>
                    <w:rPr>
                      <w:sz w:val="21"/>
                      <w:szCs w:val="21"/>
                    </w:rPr>
                  </w:pPr>
                  <w:r>
                    <w:rPr>
                      <w:sz w:val="21"/>
                      <w:szCs w:val="21"/>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1271" w:type="dxa"/>
                  <w:vAlign w:val="center"/>
                </w:tcPr>
                <w:p>
                  <w:pPr>
                    <w:pStyle w:val="52"/>
                    <w:jc w:val="center"/>
                    <w:rPr>
                      <w:sz w:val="21"/>
                      <w:szCs w:val="21"/>
                    </w:rPr>
                  </w:pPr>
                  <w:r>
                    <w:rPr>
                      <w:rFonts w:hint="eastAsia"/>
                      <w:sz w:val="21"/>
                      <w:szCs w:val="21"/>
                    </w:rPr>
                    <w:t>除尘风机</w:t>
                  </w:r>
                </w:p>
              </w:tc>
              <w:tc>
                <w:tcPr>
                  <w:tcW w:w="709" w:type="dxa"/>
                  <w:vAlign w:val="center"/>
                </w:tcPr>
                <w:p>
                  <w:pPr>
                    <w:pStyle w:val="52"/>
                    <w:jc w:val="center"/>
                    <w:rPr>
                      <w:sz w:val="21"/>
                      <w:szCs w:val="21"/>
                    </w:rPr>
                  </w:pPr>
                  <w:r>
                    <w:rPr>
                      <w:rFonts w:hint="eastAsia"/>
                      <w:sz w:val="21"/>
                      <w:szCs w:val="21"/>
                    </w:rPr>
                    <w:t>1</w:t>
                  </w:r>
                </w:p>
              </w:tc>
              <w:tc>
                <w:tcPr>
                  <w:tcW w:w="1134" w:type="dxa"/>
                  <w:vAlign w:val="center"/>
                </w:tcPr>
                <w:p>
                  <w:pPr>
                    <w:pStyle w:val="52"/>
                    <w:jc w:val="center"/>
                    <w:rPr>
                      <w:sz w:val="21"/>
                      <w:szCs w:val="21"/>
                    </w:rPr>
                  </w:pPr>
                  <w:r>
                    <w:rPr>
                      <w:sz w:val="21"/>
                      <w:szCs w:val="21"/>
                    </w:rPr>
                    <w:t>85.0</w:t>
                  </w:r>
                </w:p>
              </w:tc>
              <w:tc>
                <w:tcPr>
                  <w:tcW w:w="850" w:type="dxa"/>
                  <w:vAlign w:val="center"/>
                </w:tcPr>
                <w:p>
                  <w:pPr>
                    <w:pStyle w:val="52"/>
                    <w:jc w:val="center"/>
                    <w:rPr>
                      <w:sz w:val="21"/>
                      <w:szCs w:val="21"/>
                    </w:rPr>
                  </w:pPr>
                  <w:r>
                    <w:rPr>
                      <w:sz w:val="21"/>
                      <w:szCs w:val="21"/>
                    </w:rPr>
                    <w:t>57.8</w:t>
                  </w:r>
                </w:p>
              </w:tc>
              <w:tc>
                <w:tcPr>
                  <w:tcW w:w="851" w:type="dxa"/>
                  <w:vAlign w:val="center"/>
                </w:tcPr>
                <w:p>
                  <w:pPr>
                    <w:pStyle w:val="52"/>
                    <w:jc w:val="center"/>
                    <w:rPr>
                      <w:sz w:val="21"/>
                      <w:szCs w:val="21"/>
                    </w:rPr>
                  </w:pPr>
                  <w:r>
                    <w:rPr>
                      <w:sz w:val="21"/>
                      <w:szCs w:val="21"/>
                    </w:rPr>
                    <w:t>43.4</w:t>
                  </w:r>
                </w:p>
              </w:tc>
              <w:tc>
                <w:tcPr>
                  <w:tcW w:w="709" w:type="dxa"/>
                  <w:vAlign w:val="center"/>
                </w:tcPr>
                <w:p>
                  <w:pPr>
                    <w:pStyle w:val="52"/>
                    <w:jc w:val="center"/>
                    <w:rPr>
                      <w:sz w:val="21"/>
                      <w:szCs w:val="21"/>
                    </w:rPr>
                  </w:pPr>
                  <w:r>
                    <w:rPr>
                      <w:sz w:val="21"/>
                      <w:szCs w:val="21"/>
                    </w:rPr>
                    <w:t>50.0</w:t>
                  </w:r>
                </w:p>
              </w:tc>
              <w:tc>
                <w:tcPr>
                  <w:tcW w:w="850" w:type="dxa"/>
                  <w:vAlign w:val="center"/>
                </w:tcPr>
                <w:p>
                  <w:pPr>
                    <w:pStyle w:val="52"/>
                    <w:jc w:val="center"/>
                    <w:rPr>
                      <w:sz w:val="21"/>
                      <w:szCs w:val="21"/>
                    </w:rPr>
                  </w:pPr>
                  <w:r>
                    <w:rPr>
                      <w:sz w:val="21"/>
                      <w:szCs w:val="21"/>
                    </w:rPr>
                    <w:t>54.1</w:t>
                  </w:r>
                </w:p>
              </w:tc>
              <w:tc>
                <w:tcPr>
                  <w:tcW w:w="1276" w:type="dxa"/>
                  <w:vAlign w:val="center"/>
                </w:tcPr>
                <w:p>
                  <w:pPr>
                    <w:pStyle w:val="52"/>
                    <w:jc w:val="center"/>
                    <w:rPr>
                      <w:sz w:val="21"/>
                      <w:szCs w:val="21"/>
                    </w:rPr>
                  </w:pPr>
                  <w:r>
                    <w:rPr>
                      <w:sz w:val="21"/>
                      <w:szCs w:val="21"/>
                    </w:rPr>
                    <w:t>41.8</w:t>
                  </w:r>
                </w:p>
              </w:tc>
              <w:tc>
                <w:tcPr>
                  <w:tcW w:w="1262" w:type="dxa"/>
                  <w:vAlign w:val="center"/>
                </w:tcPr>
                <w:p>
                  <w:pPr>
                    <w:pStyle w:val="52"/>
                    <w:jc w:val="center"/>
                    <w:rPr>
                      <w:sz w:val="21"/>
                      <w:szCs w:val="21"/>
                    </w:rPr>
                  </w:pPr>
                  <w:r>
                    <w:rPr>
                      <w:sz w:val="21"/>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3114" w:type="dxa"/>
                  <w:gridSpan w:val="3"/>
                  <w:vAlign w:val="center"/>
                </w:tcPr>
                <w:p>
                  <w:pPr>
                    <w:pStyle w:val="52"/>
                    <w:jc w:val="center"/>
                    <w:rPr>
                      <w:sz w:val="21"/>
                      <w:szCs w:val="21"/>
                    </w:rPr>
                  </w:pPr>
                  <w:r>
                    <w:rPr>
                      <w:rFonts w:hint="eastAsia"/>
                      <w:sz w:val="21"/>
                      <w:szCs w:val="21"/>
                    </w:rPr>
                    <w:t>贡献值叠加</w:t>
                  </w:r>
                  <w:r>
                    <w:rPr>
                      <w:sz w:val="21"/>
                      <w:szCs w:val="21"/>
                    </w:rPr>
                    <w:t>[dB(A)]</w:t>
                  </w:r>
                </w:p>
              </w:tc>
              <w:tc>
                <w:tcPr>
                  <w:tcW w:w="850" w:type="dxa"/>
                  <w:vAlign w:val="center"/>
                </w:tcPr>
                <w:p>
                  <w:pPr>
                    <w:pStyle w:val="52"/>
                    <w:jc w:val="center"/>
                    <w:rPr>
                      <w:sz w:val="21"/>
                      <w:szCs w:val="21"/>
                    </w:rPr>
                  </w:pPr>
                  <w:r>
                    <w:rPr>
                      <w:sz w:val="21"/>
                      <w:szCs w:val="21"/>
                    </w:rPr>
                    <w:t>75.3</w:t>
                  </w:r>
                </w:p>
              </w:tc>
              <w:tc>
                <w:tcPr>
                  <w:tcW w:w="851" w:type="dxa"/>
                  <w:vAlign w:val="center"/>
                </w:tcPr>
                <w:p>
                  <w:pPr>
                    <w:pStyle w:val="52"/>
                    <w:jc w:val="center"/>
                    <w:rPr>
                      <w:sz w:val="21"/>
                      <w:szCs w:val="21"/>
                    </w:rPr>
                  </w:pPr>
                  <w:r>
                    <w:rPr>
                      <w:sz w:val="21"/>
                      <w:szCs w:val="21"/>
                    </w:rPr>
                    <w:t>74.8</w:t>
                  </w:r>
                </w:p>
              </w:tc>
              <w:tc>
                <w:tcPr>
                  <w:tcW w:w="709" w:type="dxa"/>
                  <w:vAlign w:val="center"/>
                </w:tcPr>
                <w:p>
                  <w:pPr>
                    <w:pStyle w:val="52"/>
                    <w:jc w:val="center"/>
                    <w:rPr>
                      <w:sz w:val="21"/>
                      <w:szCs w:val="21"/>
                    </w:rPr>
                  </w:pPr>
                  <w:r>
                    <w:rPr>
                      <w:sz w:val="21"/>
                      <w:szCs w:val="21"/>
                    </w:rPr>
                    <w:t>75.3</w:t>
                  </w:r>
                </w:p>
              </w:tc>
              <w:tc>
                <w:tcPr>
                  <w:tcW w:w="850" w:type="dxa"/>
                  <w:vAlign w:val="center"/>
                </w:tcPr>
                <w:p>
                  <w:pPr>
                    <w:pStyle w:val="52"/>
                    <w:jc w:val="center"/>
                    <w:rPr>
                      <w:sz w:val="21"/>
                      <w:szCs w:val="21"/>
                    </w:rPr>
                  </w:pPr>
                  <w:r>
                    <w:rPr>
                      <w:sz w:val="21"/>
                      <w:szCs w:val="21"/>
                    </w:rPr>
                    <w:t>82.5</w:t>
                  </w:r>
                </w:p>
              </w:tc>
              <w:tc>
                <w:tcPr>
                  <w:tcW w:w="1276" w:type="dxa"/>
                  <w:vAlign w:val="center"/>
                </w:tcPr>
                <w:p>
                  <w:pPr>
                    <w:pStyle w:val="52"/>
                    <w:jc w:val="center"/>
                    <w:rPr>
                      <w:sz w:val="21"/>
                      <w:szCs w:val="21"/>
                    </w:rPr>
                  </w:pPr>
                  <w:r>
                    <w:rPr>
                      <w:sz w:val="21"/>
                      <w:szCs w:val="21"/>
                    </w:rPr>
                    <w:t>68.9</w:t>
                  </w:r>
                </w:p>
              </w:tc>
              <w:tc>
                <w:tcPr>
                  <w:tcW w:w="1262" w:type="dxa"/>
                  <w:vAlign w:val="center"/>
                </w:tcPr>
                <w:p>
                  <w:pPr>
                    <w:pStyle w:val="52"/>
                    <w:jc w:val="center"/>
                    <w:rPr>
                      <w:sz w:val="21"/>
                      <w:szCs w:val="21"/>
                    </w:rPr>
                  </w:pPr>
                  <w:r>
                    <w:rPr>
                      <w:sz w:val="21"/>
                      <w:szCs w:val="21"/>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3114" w:type="dxa"/>
                  <w:gridSpan w:val="3"/>
                  <w:vAlign w:val="center"/>
                </w:tcPr>
                <w:p>
                  <w:pPr>
                    <w:pStyle w:val="52"/>
                    <w:jc w:val="center"/>
                    <w:rPr>
                      <w:sz w:val="21"/>
                      <w:szCs w:val="21"/>
                    </w:rPr>
                  </w:pPr>
                  <w:r>
                    <w:rPr>
                      <w:rFonts w:hint="eastAsia"/>
                      <w:sz w:val="21"/>
                      <w:szCs w:val="21"/>
                    </w:rPr>
                    <w:t>隔声减振降噪</w:t>
                  </w:r>
                </w:p>
              </w:tc>
              <w:tc>
                <w:tcPr>
                  <w:tcW w:w="850" w:type="dxa"/>
                  <w:vAlign w:val="center"/>
                </w:tcPr>
                <w:p>
                  <w:pPr>
                    <w:pStyle w:val="52"/>
                    <w:jc w:val="center"/>
                    <w:rPr>
                      <w:sz w:val="21"/>
                      <w:szCs w:val="21"/>
                    </w:rPr>
                  </w:pPr>
                  <w:r>
                    <w:rPr>
                      <w:rFonts w:hint="eastAsia"/>
                      <w:sz w:val="21"/>
                      <w:szCs w:val="21"/>
                    </w:rPr>
                    <w:t>-20</w:t>
                  </w:r>
                </w:p>
              </w:tc>
              <w:tc>
                <w:tcPr>
                  <w:tcW w:w="851" w:type="dxa"/>
                  <w:vAlign w:val="center"/>
                </w:tcPr>
                <w:p>
                  <w:pPr>
                    <w:pStyle w:val="52"/>
                    <w:jc w:val="center"/>
                    <w:rPr>
                      <w:sz w:val="21"/>
                      <w:szCs w:val="21"/>
                    </w:rPr>
                  </w:pPr>
                  <w:r>
                    <w:rPr>
                      <w:rFonts w:hint="eastAsia"/>
                      <w:sz w:val="21"/>
                      <w:szCs w:val="21"/>
                    </w:rPr>
                    <w:t>-20</w:t>
                  </w:r>
                </w:p>
              </w:tc>
              <w:tc>
                <w:tcPr>
                  <w:tcW w:w="709" w:type="dxa"/>
                  <w:vAlign w:val="center"/>
                </w:tcPr>
                <w:p>
                  <w:pPr>
                    <w:pStyle w:val="52"/>
                    <w:jc w:val="center"/>
                    <w:rPr>
                      <w:sz w:val="21"/>
                      <w:szCs w:val="21"/>
                    </w:rPr>
                  </w:pPr>
                  <w:r>
                    <w:rPr>
                      <w:rFonts w:hint="eastAsia"/>
                      <w:sz w:val="21"/>
                      <w:szCs w:val="21"/>
                    </w:rPr>
                    <w:t>-20</w:t>
                  </w:r>
                </w:p>
              </w:tc>
              <w:tc>
                <w:tcPr>
                  <w:tcW w:w="850" w:type="dxa"/>
                  <w:vAlign w:val="center"/>
                </w:tcPr>
                <w:p>
                  <w:pPr>
                    <w:pStyle w:val="52"/>
                    <w:jc w:val="center"/>
                    <w:rPr>
                      <w:sz w:val="21"/>
                      <w:szCs w:val="21"/>
                    </w:rPr>
                  </w:pPr>
                  <w:r>
                    <w:rPr>
                      <w:rFonts w:hint="eastAsia"/>
                      <w:sz w:val="21"/>
                      <w:szCs w:val="21"/>
                    </w:rPr>
                    <w:t>-20</w:t>
                  </w:r>
                </w:p>
              </w:tc>
              <w:tc>
                <w:tcPr>
                  <w:tcW w:w="1276" w:type="dxa"/>
                  <w:vAlign w:val="center"/>
                </w:tcPr>
                <w:p>
                  <w:pPr>
                    <w:pStyle w:val="52"/>
                    <w:jc w:val="center"/>
                    <w:rPr>
                      <w:sz w:val="21"/>
                      <w:szCs w:val="21"/>
                    </w:rPr>
                  </w:pPr>
                  <w:r>
                    <w:rPr>
                      <w:rFonts w:hint="eastAsia"/>
                      <w:sz w:val="21"/>
                      <w:szCs w:val="21"/>
                    </w:rPr>
                    <w:t>-20</w:t>
                  </w:r>
                </w:p>
              </w:tc>
              <w:tc>
                <w:tcPr>
                  <w:tcW w:w="1262" w:type="dxa"/>
                  <w:vAlign w:val="center"/>
                </w:tcPr>
                <w:p>
                  <w:pPr>
                    <w:pStyle w:val="52"/>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trPr>
              <w:tc>
                <w:tcPr>
                  <w:tcW w:w="3114" w:type="dxa"/>
                  <w:gridSpan w:val="3"/>
                  <w:vAlign w:val="center"/>
                </w:tcPr>
                <w:p>
                  <w:pPr>
                    <w:pStyle w:val="52"/>
                    <w:jc w:val="center"/>
                    <w:rPr>
                      <w:sz w:val="21"/>
                      <w:szCs w:val="21"/>
                    </w:rPr>
                  </w:pPr>
                  <w:r>
                    <w:rPr>
                      <w:rFonts w:hint="eastAsia"/>
                      <w:sz w:val="21"/>
                      <w:szCs w:val="21"/>
                    </w:rPr>
                    <w:t>减振隔声后贡献值叠加</w:t>
                  </w:r>
                  <w:r>
                    <w:rPr>
                      <w:sz w:val="21"/>
                      <w:szCs w:val="21"/>
                    </w:rPr>
                    <w:t>[dB(A)]</w:t>
                  </w:r>
                </w:p>
              </w:tc>
              <w:tc>
                <w:tcPr>
                  <w:tcW w:w="850" w:type="dxa"/>
                  <w:vAlign w:val="center"/>
                </w:tcPr>
                <w:p>
                  <w:pPr>
                    <w:pStyle w:val="52"/>
                    <w:jc w:val="center"/>
                    <w:rPr>
                      <w:sz w:val="21"/>
                      <w:szCs w:val="21"/>
                    </w:rPr>
                  </w:pPr>
                  <w:r>
                    <w:rPr>
                      <w:rFonts w:hint="eastAsia"/>
                      <w:sz w:val="21"/>
                      <w:szCs w:val="21"/>
                    </w:rPr>
                    <w:t>55.3</w:t>
                  </w:r>
                </w:p>
              </w:tc>
              <w:tc>
                <w:tcPr>
                  <w:tcW w:w="851" w:type="dxa"/>
                  <w:vAlign w:val="center"/>
                </w:tcPr>
                <w:p>
                  <w:pPr>
                    <w:pStyle w:val="52"/>
                    <w:jc w:val="center"/>
                    <w:rPr>
                      <w:sz w:val="21"/>
                      <w:szCs w:val="21"/>
                    </w:rPr>
                  </w:pPr>
                  <w:r>
                    <w:rPr>
                      <w:rFonts w:hint="eastAsia"/>
                      <w:sz w:val="21"/>
                      <w:szCs w:val="21"/>
                    </w:rPr>
                    <w:t>54.8</w:t>
                  </w:r>
                </w:p>
              </w:tc>
              <w:tc>
                <w:tcPr>
                  <w:tcW w:w="709" w:type="dxa"/>
                  <w:vAlign w:val="center"/>
                </w:tcPr>
                <w:p>
                  <w:pPr>
                    <w:pStyle w:val="52"/>
                    <w:jc w:val="center"/>
                    <w:rPr>
                      <w:sz w:val="21"/>
                      <w:szCs w:val="21"/>
                    </w:rPr>
                  </w:pPr>
                  <w:r>
                    <w:rPr>
                      <w:rFonts w:hint="eastAsia"/>
                      <w:sz w:val="21"/>
                      <w:szCs w:val="21"/>
                    </w:rPr>
                    <w:t>55.3</w:t>
                  </w:r>
                </w:p>
              </w:tc>
              <w:tc>
                <w:tcPr>
                  <w:tcW w:w="850" w:type="dxa"/>
                  <w:vAlign w:val="center"/>
                </w:tcPr>
                <w:p>
                  <w:pPr>
                    <w:pStyle w:val="52"/>
                    <w:jc w:val="center"/>
                    <w:rPr>
                      <w:sz w:val="21"/>
                      <w:szCs w:val="21"/>
                    </w:rPr>
                  </w:pPr>
                  <w:r>
                    <w:rPr>
                      <w:rFonts w:hint="eastAsia"/>
                      <w:sz w:val="21"/>
                      <w:szCs w:val="21"/>
                    </w:rPr>
                    <w:t>62.5</w:t>
                  </w:r>
                </w:p>
              </w:tc>
              <w:tc>
                <w:tcPr>
                  <w:tcW w:w="1276" w:type="dxa"/>
                  <w:vAlign w:val="center"/>
                </w:tcPr>
                <w:p>
                  <w:pPr>
                    <w:pStyle w:val="52"/>
                    <w:jc w:val="center"/>
                    <w:rPr>
                      <w:sz w:val="21"/>
                      <w:szCs w:val="21"/>
                    </w:rPr>
                  </w:pPr>
                  <w:r>
                    <w:rPr>
                      <w:rFonts w:hint="eastAsia"/>
                      <w:sz w:val="21"/>
                      <w:szCs w:val="21"/>
                    </w:rPr>
                    <w:t>48.9</w:t>
                  </w:r>
                </w:p>
              </w:tc>
              <w:tc>
                <w:tcPr>
                  <w:tcW w:w="1262" w:type="dxa"/>
                  <w:vAlign w:val="center"/>
                </w:tcPr>
                <w:p>
                  <w:pPr>
                    <w:pStyle w:val="52"/>
                    <w:jc w:val="center"/>
                    <w:rPr>
                      <w:sz w:val="21"/>
                      <w:szCs w:val="21"/>
                    </w:rPr>
                  </w:pPr>
                  <w:r>
                    <w:rPr>
                      <w:rFonts w:hint="eastAsia"/>
                      <w:sz w:val="21"/>
                      <w:szCs w:val="21"/>
                    </w:rPr>
                    <w:t>50.7</w:t>
                  </w:r>
                </w:p>
              </w:tc>
            </w:tr>
          </w:tbl>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根据预测可知，根据预测可知，项目营运期全负荷生产时（所有设备同时运行），若不考虑车间和厂区四周墙体和山体隔声效果，且生产设备不采取减振隔声措施时，项目营运期厂界四周噪声贡献值都将超过《工业企业厂界环境噪声排放标准》（GB12348-2008）2类标准。</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本项目夜间不生产，考虑到项目生产车间墙体可起到良好的隔音效果，且项目设备均位于生产车间内，高噪设备将进行封闭，同时厂区四周将建设围墙，厂区东、南、北侧均有山体阻隔，项目在采取合理布局、距离衰减、隔声和减振降噪措施的前提下（降噪效果按20dB(A)计），预测结果显示项目东、南、西、厂界昼间噪声可以达标排放，但北侧噪声仍有略微超标现象。上述预测以设备全部开启为前提，项目实际生产过程中，各设备不会全部同时启动，且北侧有山体阻隔，因此在采取本环评提出的降噪措施后，项目实际运营过程中可以做到北厂界噪声达标排放。</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本项目周边200m范围有少量居民住宅（约4户）分布，由预测结果可知，通过合理布局并采取相应的减振、隔声降噪措施，本项目投产后，周边声环境可满足《声环境质量标准》（GB3096-2008）2类功能区标准限值要求。</w:t>
            </w:r>
          </w:p>
          <w:p>
            <w:pPr>
              <w:spacing w:line="360" w:lineRule="auto"/>
              <w:ind w:firstLine="422" w:firstLineChars="200"/>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16</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敏感点环境噪声预测结果</w:t>
            </w:r>
          </w:p>
          <w:tbl>
            <w:tblPr>
              <w:tblStyle w:val="25"/>
              <w:tblW w:w="8789" w:type="dxa"/>
              <w:tblInd w:w="0" w:type="dxa"/>
              <w:tblLayout w:type="fixed"/>
              <w:tblCellMar>
                <w:top w:w="0" w:type="dxa"/>
                <w:left w:w="108" w:type="dxa"/>
                <w:bottom w:w="0" w:type="dxa"/>
                <w:right w:w="108" w:type="dxa"/>
              </w:tblCellMar>
            </w:tblPr>
            <w:tblGrid>
              <w:gridCol w:w="2263"/>
              <w:gridCol w:w="1418"/>
              <w:gridCol w:w="1559"/>
              <w:gridCol w:w="1082"/>
              <w:gridCol w:w="1083"/>
              <w:gridCol w:w="1384"/>
            </w:tblGrid>
            <w:tr>
              <w:tblPrEx>
                <w:tblLayout w:type="fixed"/>
                <w:tblCellMar>
                  <w:top w:w="0" w:type="dxa"/>
                  <w:left w:w="108" w:type="dxa"/>
                  <w:bottom w:w="0" w:type="dxa"/>
                  <w:right w:w="108" w:type="dxa"/>
                </w:tblCellMar>
              </w:tblPrEx>
              <w:trPr>
                <w:trHeight w:val="397" w:hRule="atLeast"/>
              </w:trPr>
              <w:tc>
                <w:tcPr>
                  <w:tcW w:w="22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声环境敏感目标</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项目贡献值dB(A)</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背景值dB(A)</w:t>
                  </w:r>
                </w:p>
              </w:tc>
              <w:tc>
                <w:tcPr>
                  <w:tcW w:w="108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叠加值dB(A)</w:t>
                  </w:r>
                </w:p>
              </w:tc>
              <w:tc>
                <w:tcPr>
                  <w:tcW w:w="1083"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昼间标准值dB(A)</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b/>
                      <w:kern w:val="0"/>
                      <w:szCs w:val="21"/>
                    </w:rPr>
                  </w:pPr>
                  <w:r>
                    <w:rPr>
                      <w:rFonts w:hint="eastAsia" w:ascii="Times New Roman" w:hAnsi="Times New Roman" w:cs="Times New Roman"/>
                      <w:b/>
                      <w:kern w:val="0"/>
                      <w:szCs w:val="21"/>
                    </w:rPr>
                    <w:t>达标情况</w:t>
                  </w:r>
                </w:p>
              </w:tc>
            </w:tr>
            <w:tr>
              <w:tblPrEx>
                <w:tblLayout w:type="fixed"/>
                <w:tblCellMar>
                  <w:top w:w="0" w:type="dxa"/>
                  <w:left w:w="108" w:type="dxa"/>
                  <w:bottom w:w="0" w:type="dxa"/>
                  <w:right w:w="108" w:type="dxa"/>
                </w:tblCellMar>
              </w:tblPrEx>
              <w:trPr>
                <w:trHeight w:val="397" w:hRule="atLeast"/>
              </w:trPr>
              <w:tc>
                <w:tcPr>
                  <w:tcW w:w="22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eastAsia="宋体" w:cs="Times New Roman"/>
                      <w:szCs w:val="21"/>
                    </w:rPr>
                    <w:t>厂区北侧80m处堂冲垇居民点</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48.9</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54.2</w:t>
                  </w:r>
                </w:p>
              </w:tc>
              <w:tc>
                <w:tcPr>
                  <w:tcW w:w="108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55.3</w:t>
                  </w:r>
                </w:p>
              </w:tc>
              <w:tc>
                <w:tcPr>
                  <w:tcW w:w="1083"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60</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达标</w:t>
                  </w:r>
                </w:p>
              </w:tc>
            </w:tr>
            <w:tr>
              <w:tblPrEx>
                <w:tblLayout w:type="fixed"/>
                <w:tblCellMar>
                  <w:top w:w="0" w:type="dxa"/>
                  <w:left w:w="108" w:type="dxa"/>
                  <w:bottom w:w="0" w:type="dxa"/>
                  <w:right w:w="108" w:type="dxa"/>
                </w:tblCellMar>
              </w:tblPrEx>
              <w:trPr>
                <w:trHeight w:val="397" w:hRule="atLeast"/>
              </w:trPr>
              <w:tc>
                <w:tcPr>
                  <w:tcW w:w="22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eastAsia="宋体" w:cs="Times New Roman"/>
                      <w:szCs w:val="21"/>
                    </w:rPr>
                    <w:t>厂区南侧140m处龙新村长冲居民点</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50.7</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53.9</w:t>
                  </w:r>
                </w:p>
              </w:tc>
              <w:tc>
                <w:tcPr>
                  <w:tcW w:w="108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55.6</w:t>
                  </w:r>
                </w:p>
              </w:tc>
              <w:tc>
                <w:tcPr>
                  <w:tcW w:w="1083"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60</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达标</w:t>
                  </w:r>
                </w:p>
              </w:tc>
            </w:tr>
          </w:tbl>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由预测结果可知，经合理布局并采取本环评提出的隔声、减振降噪措施后，敏感点环境噪声背景值与项目贡献值叠加后仍可以达到《声环境质量标准》（GB3096-2008）2类功能区标准限值要求。</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③ 营运期场地设备噪声防治措施和建议</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a、选用低噪声切割和破碎设备，采取合理安装工艺，并适当进行减振和降噪处理，合理布置噪声源，高噪设备加装隔声罩，做好相应的隔声措施，加上自然距离的衰减作用，使机械噪声得到有效的衰减，最大程度避免生产噪声对周围声环境的影响。</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b、选用低噪声风机，并对风机及通风系统采取隔声、减振等处理措施，如通过安装减振垫、风口软接等消除因振动而产生的噪声。</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c、加强设备维护和保养，对生产设备定期检查与维护，使设备保持良好的运行状况，及时淘汰落后设备，适时添加润滑油，减少运转时产生的噪声。</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d、合理安排工作时间，禁止夜间进行破碎加工，避免噪声对项目附近居民的生活产生较大影响。</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e、场地内部空地及厂界四周种植绿色植物，采用大乔木和低矮灌木相结合的形式，形成绿化吸声带形。</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f、本项目生产厂区200m范围内有少量居民，若不采取降噪措施，营运期噪声将对其产生一定的影响，为降低噪声对周边居民的影响，环评要求建设单位做好设备的隔声减振措施（密闭高噪设备，安装减震垫），在厂区四周建设围墙（高于设备1m）等隔音屏障，降低噪声影响。</w:t>
            </w:r>
          </w:p>
          <w:p>
            <w:pPr>
              <w:spacing w:line="360" w:lineRule="auto"/>
              <w:ind w:firstLine="480" w:firstLineChars="200"/>
              <w:rPr>
                <w:rFonts w:ascii="Times New Roman" w:hAnsi="Times New Roman" w:cs="Times New Roman"/>
                <w:kern w:val="0"/>
                <w:sz w:val="24"/>
              </w:rPr>
            </w:pPr>
            <w:r>
              <w:rPr>
                <w:rFonts w:hint="eastAsia" w:ascii="Times New Roman" w:hAnsi="Times New Roman" w:cs="Times New Roman"/>
                <w:kern w:val="0"/>
                <w:sz w:val="24"/>
              </w:rPr>
              <w:t>综上，采取相应措施后，本项目生产厂区设备噪声不会对周边声环境产生明显不利影响。</w:t>
            </w:r>
          </w:p>
          <w:p>
            <w:pPr>
              <w:spacing w:line="360" w:lineRule="auto"/>
              <w:ind w:firstLine="482" w:firstLineChars="200"/>
              <w:rPr>
                <w:rFonts w:ascii="Times New Roman" w:hAnsi="Times New Roman" w:eastAsia="宋体" w:cs="Times New Roman"/>
                <w:b/>
                <w:kern w:val="0"/>
                <w:sz w:val="24"/>
              </w:rPr>
            </w:pPr>
            <w:r>
              <w:rPr>
                <w:rFonts w:hint="eastAsia" w:ascii="Times New Roman" w:hAnsi="Times New Roman" w:eastAsia="宋体" w:cs="Times New Roman"/>
                <w:b/>
                <w:kern w:val="0"/>
                <w:sz w:val="24"/>
              </w:rPr>
              <w:t>（2）交通噪声影响分析</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本项目生产原料和成品均通过汽车进行运输，营运期间交通噪声将对运输车辆沿线的声环境产生一定的影响。</w:t>
            </w:r>
          </w:p>
          <w:p>
            <w:pPr>
              <w:pStyle w:val="36"/>
              <w:ind w:firstLine="480"/>
              <w:rPr>
                <w:rFonts w:ascii="Times New Roman" w:hAnsi="Times New Roman" w:cs="Times New Roman"/>
                <w:color w:val="auto"/>
                <w:kern w:val="0"/>
              </w:rPr>
            </w:pPr>
            <w:r>
              <w:rPr>
                <w:rFonts w:hint="eastAsia" w:ascii="Times New Roman" w:hAnsi="Times New Roman" w:cs="Times New Roman"/>
                <w:color w:val="auto"/>
                <w:kern w:val="0"/>
              </w:rPr>
              <w:t>物料</w:t>
            </w:r>
            <w:r>
              <w:rPr>
                <w:rFonts w:ascii="Times New Roman" w:hAnsi="Times New Roman" w:cs="Times New Roman"/>
                <w:color w:val="auto"/>
                <w:kern w:val="0"/>
              </w:rPr>
              <w:t>运输车辆行驶速度约</w:t>
            </w:r>
            <w:r>
              <w:rPr>
                <w:rFonts w:hint="eastAsia" w:ascii="Times New Roman" w:hAnsi="Times New Roman" w:cs="Times New Roman"/>
                <w:color w:val="auto"/>
                <w:kern w:val="0"/>
              </w:rPr>
              <w:t>20</w:t>
            </w:r>
            <w:r>
              <w:rPr>
                <w:rFonts w:ascii="Times New Roman" w:hAnsi="Times New Roman" w:cs="Times New Roman"/>
                <w:color w:val="auto"/>
                <w:kern w:val="0"/>
              </w:rPr>
              <w:t>km/h，噪声源强约75~85dB(A)，采用无限长几何发散衰减计算公式进行简单预测，预测结果详见</w:t>
            </w:r>
            <w:r>
              <w:rPr>
                <w:rFonts w:ascii="Times New Roman" w:hAnsi="Times New Roman" w:cs="Times New Roman"/>
                <w:color w:val="auto"/>
                <w:kern w:val="0"/>
              </w:rPr>
              <w:fldChar w:fldCharType="begin"/>
            </w:r>
            <w:r>
              <w:rPr>
                <w:rFonts w:ascii="Times New Roman" w:hAnsi="Times New Roman" w:cs="Times New Roman"/>
                <w:color w:val="auto"/>
                <w:kern w:val="0"/>
              </w:rPr>
              <w:instrText xml:space="preserve"> REF _Ref516819871 \h  \* MERGEFORMAT </w:instrText>
            </w:r>
            <w:r>
              <w:rPr>
                <w:rFonts w:ascii="Times New Roman" w:hAnsi="Times New Roman" w:cs="Times New Roman"/>
                <w:color w:val="auto"/>
                <w:kern w:val="0"/>
              </w:rPr>
              <w:fldChar w:fldCharType="separate"/>
            </w:r>
            <w:r>
              <w:rPr>
                <w:rFonts w:hint="eastAsia" w:ascii="Times New Roman" w:hAnsi="Times New Roman" w:cs="Times New Roman"/>
                <w:color w:val="auto"/>
                <w:kern w:val="0"/>
              </w:rPr>
              <w:t>表7-</w:t>
            </w:r>
            <w:r>
              <w:rPr>
                <w:rFonts w:ascii="Times New Roman" w:hAnsi="Times New Roman" w:cs="Times New Roman"/>
                <w:color w:val="auto"/>
                <w:kern w:val="0"/>
              </w:rPr>
              <w:t>17</w:t>
            </w:r>
            <w:r>
              <w:rPr>
                <w:rFonts w:ascii="Times New Roman" w:hAnsi="Times New Roman" w:cs="Times New Roman"/>
                <w:color w:val="auto"/>
                <w:kern w:val="0"/>
              </w:rPr>
              <w:fldChar w:fldCharType="end"/>
            </w:r>
            <w:r>
              <w:rPr>
                <w:rFonts w:ascii="Times New Roman" w:hAnsi="Times New Roman" w:cs="Times New Roman"/>
                <w:color w:val="auto"/>
                <w:kern w:val="0"/>
              </w:rPr>
              <w:t>。</w:t>
            </w:r>
          </w:p>
          <w:p>
            <w:pPr>
              <w:spacing w:line="360" w:lineRule="auto"/>
              <w:ind w:firstLine="422" w:firstLineChars="200"/>
              <w:jc w:val="center"/>
              <w:rPr>
                <w:rFonts w:ascii="Times New Roman" w:hAnsi="Times New Roman" w:cs="Times New Roman"/>
                <w:b/>
                <w:bCs/>
              </w:rPr>
            </w:pPr>
            <w:bookmarkStart w:id="71" w:name="_Ref516819871"/>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17</w:t>
            </w:r>
            <w:r>
              <w:rPr>
                <w:rFonts w:ascii="Times New Roman" w:hAnsi="Times New Roman" w:cs="Times New Roman"/>
                <w:b/>
                <w:bCs/>
              </w:rPr>
              <w:fldChar w:fldCharType="end"/>
            </w:r>
            <w:bookmarkEnd w:id="71"/>
            <w:r>
              <w:rPr>
                <w:rFonts w:hint="eastAsia" w:ascii="Times New Roman" w:hAnsi="Times New Roman" w:cs="Times New Roman"/>
                <w:b/>
                <w:bCs/>
              </w:rPr>
              <w:t xml:space="preserve"> </w:t>
            </w:r>
            <w:r>
              <w:rPr>
                <w:rFonts w:ascii="Times New Roman" w:hAnsi="Times New Roman" w:cs="Times New Roman"/>
                <w:b/>
                <w:bCs/>
              </w:rPr>
              <w:t xml:space="preserve"> 项目运输噪声预测结果表   单位：dB(A)</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721"/>
              <w:gridCol w:w="721"/>
              <w:gridCol w:w="721"/>
              <w:gridCol w:w="721"/>
              <w:gridCol w:w="721"/>
              <w:gridCol w:w="850"/>
              <w:gridCol w:w="850"/>
              <w:gridCol w:w="85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64" w:type="dxa"/>
                  <w:shd w:val="clear" w:color="auto" w:fill="auto"/>
                  <w:vAlign w:val="center"/>
                </w:tcPr>
                <w:p>
                  <w:pPr>
                    <w:pStyle w:val="46"/>
                    <w:rPr>
                      <w:rFonts w:cs="Times New Roman" w:eastAsiaTheme="minorEastAsia"/>
                      <w:b/>
                    </w:rPr>
                  </w:pPr>
                  <w:r>
                    <w:rPr>
                      <w:rFonts w:cs="Times New Roman" w:eastAsiaTheme="minorEastAsia"/>
                      <w:b/>
                    </w:rPr>
                    <w:t>距离道路中心</w:t>
                  </w:r>
                </w:p>
                <w:p>
                  <w:pPr>
                    <w:pStyle w:val="46"/>
                    <w:rPr>
                      <w:rFonts w:cs="Times New Roman" w:eastAsiaTheme="minorEastAsia"/>
                      <w:b/>
                    </w:rPr>
                  </w:pPr>
                  <w:r>
                    <w:rPr>
                      <w:rFonts w:cs="Times New Roman" w:eastAsiaTheme="minorEastAsia"/>
                      <w:b/>
                    </w:rPr>
                    <w:t>不同水平距离</w:t>
                  </w:r>
                </w:p>
                <w:p>
                  <w:pPr>
                    <w:pStyle w:val="46"/>
                    <w:rPr>
                      <w:rFonts w:cs="Times New Roman" w:eastAsiaTheme="minorEastAsia"/>
                      <w:b/>
                    </w:rPr>
                  </w:pPr>
                  <w:r>
                    <w:rPr>
                      <w:rFonts w:cs="Times New Roman" w:eastAsiaTheme="minorEastAsia"/>
                      <w:b/>
                    </w:rPr>
                    <w:t>处的交通噪声值</w:t>
                  </w:r>
                </w:p>
              </w:tc>
              <w:tc>
                <w:tcPr>
                  <w:tcW w:w="721" w:type="dxa"/>
                  <w:shd w:val="clear" w:color="auto" w:fill="auto"/>
                  <w:vAlign w:val="center"/>
                </w:tcPr>
                <w:p>
                  <w:pPr>
                    <w:pStyle w:val="46"/>
                    <w:rPr>
                      <w:rFonts w:cs="Times New Roman" w:eastAsiaTheme="minorEastAsia"/>
                    </w:rPr>
                  </w:pPr>
                  <w:r>
                    <w:rPr>
                      <w:rFonts w:cs="Times New Roman" w:eastAsiaTheme="minorEastAsia"/>
                    </w:rPr>
                    <w:t>10m</w:t>
                  </w:r>
                </w:p>
              </w:tc>
              <w:tc>
                <w:tcPr>
                  <w:tcW w:w="721" w:type="dxa"/>
                  <w:shd w:val="clear" w:color="auto" w:fill="auto"/>
                  <w:vAlign w:val="center"/>
                </w:tcPr>
                <w:p>
                  <w:pPr>
                    <w:pStyle w:val="46"/>
                    <w:rPr>
                      <w:rFonts w:cs="Times New Roman" w:eastAsiaTheme="minorEastAsia"/>
                    </w:rPr>
                  </w:pPr>
                  <w:r>
                    <w:rPr>
                      <w:rFonts w:cs="Times New Roman" w:eastAsiaTheme="minorEastAsia"/>
                    </w:rPr>
                    <w:t>20m</w:t>
                  </w:r>
                </w:p>
              </w:tc>
              <w:tc>
                <w:tcPr>
                  <w:tcW w:w="721" w:type="dxa"/>
                  <w:shd w:val="clear" w:color="auto" w:fill="auto"/>
                  <w:vAlign w:val="center"/>
                </w:tcPr>
                <w:p>
                  <w:pPr>
                    <w:pStyle w:val="46"/>
                    <w:rPr>
                      <w:rFonts w:cs="Times New Roman" w:eastAsiaTheme="minorEastAsia"/>
                    </w:rPr>
                  </w:pPr>
                  <w:r>
                    <w:rPr>
                      <w:rFonts w:cs="Times New Roman" w:eastAsiaTheme="minorEastAsia"/>
                    </w:rPr>
                    <w:t>40m</w:t>
                  </w:r>
                </w:p>
              </w:tc>
              <w:tc>
                <w:tcPr>
                  <w:tcW w:w="721" w:type="dxa"/>
                  <w:shd w:val="clear" w:color="auto" w:fill="auto"/>
                  <w:vAlign w:val="center"/>
                </w:tcPr>
                <w:p>
                  <w:pPr>
                    <w:pStyle w:val="46"/>
                    <w:rPr>
                      <w:rFonts w:cs="Times New Roman" w:eastAsiaTheme="minorEastAsia"/>
                    </w:rPr>
                  </w:pPr>
                  <w:r>
                    <w:rPr>
                      <w:rFonts w:cs="Times New Roman" w:eastAsiaTheme="minorEastAsia"/>
                    </w:rPr>
                    <w:t>60m</w:t>
                  </w:r>
                </w:p>
              </w:tc>
              <w:tc>
                <w:tcPr>
                  <w:tcW w:w="721" w:type="dxa"/>
                  <w:shd w:val="clear" w:color="auto" w:fill="auto"/>
                  <w:vAlign w:val="center"/>
                </w:tcPr>
                <w:p>
                  <w:pPr>
                    <w:pStyle w:val="46"/>
                    <w:rPr>
                      <w:rFonts w:cs="Times New Roman" w:eastAsiaTheme="minorEastAsia"/>
                    </w:rPr>
                  </w:pPr>
                  <w:r>
                    <w:rPr>
                      <w:rFonts w:cs="Times New Roman" w:eastAsiaTheme="minorEastAsia"/>
                    </w:rPr>
                    <w:t>80m</w:t>
                  </w:r>
                </w:p>
              </w:tc>
              <w:tc>
                <w:tcPr>
                  <w:tcW w:w="850" w:type="dxa"/>
                  <w:shd w:val="clear" w:color="auto" w:fill="auto"/>
                  <w:vAlign w:val="center"/>
                </w:tcPr>
                <w:p>
                  <w:pPr>
                    <w:pStyle w:val="46"/>
                    <w:rPr>
                      <w:rFonts w:cs="Times New Roman" w:eastAsiaTheme="minorEastAsia"/>
                    </w:rPr>
                  </w:pPr>
                  <w:r>
                    <w:rPr>
                      <w:rFonts w:cs="Times New Roman" w:eastAsiaTheme="minorEastAsia"/>
                    </w:rPr>
                    <w:t>100m</w:t>
                  </w:r>
                </w:p>
              </w:tc>
              <w:tc>
                <w:tcPr>
                  <w:tcW w:w="850" w:type="dxa"/>
                  <w:shd w:val="clear" w:color="auto" w:fill="auto"/>
                  <w:vAlign w:val="center"/>
                </w:tcPr>
                <w:p>
                  <w:pPr>
                    <w:pStyle w:val="46"/>
                    <w:rPr>
                      <w:rFonts w:cs="Times New Roman" w:eastAsiaTheme="minorEastAsia"/>
                    </w:rPr>
                  </w:pPr>
                  <w:r>
                    <w:rPr>
                      <w:rFonts w:cs="Times New Roman" w:eastAsiaTheme="minorEastAsia"/>
                    </w:rPr>
                    <w:t>120m</w:t>
                  </w:r>
                </w:p>
              </w:tc>
              <w:tc>
                <w:tcPr>
                  <w:tcW w:w="850" w:type="dxa"/>
                  <w:shd w:val="clear" w:color="auto" w:fill="auto"/>
                  <w:vAlign w:val="center"/>
                </w:tcPr>
                <w:p>
                  <w:pPr>
                    <w:pStyle w:val="46"/>
                    <w:rPr>
                      <w:rFonts w:cs="Times New Roman" w:eastAsiaTheme="minorEastAsia"/>
                    </w:rPr>
                  </w:pPr>
                  <w:r>
                    <w:rPr>
                      <w:rFonts w:cs="Times New Roman" w:eastAsiaTheme="minorEastAsia"/>
                    </w:rPr>
                    <w:t>160m</w:t>
                  </w:r>
                </w:p>
              </w:tc>
              <w:tc>
                <w:tcPr>
                  <w:tcW w:w="841" w:type="dxa"/>
                  <w:shd w:val="clear" w:color="auto" w:fill="auto"/>
                  <w:vAlign w:val="center"/>
                </w:tcPr>
                <w:p>
                  <w:pPr>
                    <w:pStyle w:val="46"/>
                    <w:rPr>
                      <w:rFonts w:cs="Times New Roman" w:eastAsiaTheme="minorEastAsia"/>
                    </w:rPr>
                  </w:pPr>
                  <w:r>
                    <w:rPr>
                      <w:rFonts w:cs="Times New Roman" w:eastAsiaTheme="minorEastAsia"/>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64" w:type="dxa"/>
                  <w:shd w:val="clear" w:color="auto" w:fill="auto"/>
                  <w:vAlign w:val="center"/>
                </w:tcPr>
                <w:p>
                  <w:pPr>
                    <w:pStyle w:val="46"/>
                    <w:rPr>
                      <w:rFonts w:cs="Times New Roman" w:eastAsiaTheme="minorEastAsia"/>
                      <w:b/>
                    </w:rPr>
                  </w:pPr>
                  <w:r>
                    <w:rPr>
                      <w:rFonts w:cs="Times New Roman" w:eastAsiaTheme="minorEastAsia"/>
                      <w:b/>
                    </w:rPr>
                    <w:t>噪声贡献值</w:t>
                  </w:r>
                </w:p>
              </w:tc>
              <w:tc>
                <w:tcPr>
                  <w:tcW w:w="721" w:type="dxa"/>
                  <w:shd w:val="clear" w:color="auto" w:fill="auto"/>
                  <w:vAlign w:val="center"/>
                </w:tcPr>
                <w:p>
                  <w:pPr>
                    <w:pStyle w:val="46"/>
                    <w:rPr>
                      <w:rFonts w:cs="Times New Roman" w:eastAsiaTheme="minorEastAsia"/>
                    </w:rPr>
                  </w:pPr>
                  <w:r>
                    <w:rPr>
                      <w:rFonts w:cs="Times New Roman" w:eastAsiaTheme="minorEastAsia"/>
                    </w:rPr>
                    <w:t>70.0</w:t>
                  </w:r>
                </w:p>
              </w:tc>
              <w:tc>
                <w:tcPr>
                  <w:tcW w:w="721" w:type="dxa"/>
                  <w:shd w:val="clear" w:color="auto" w:fill="auto"/>
                  <w:vAlign w:val="center"/>
                </w:tcPr>
                <w:p>
                  <w:pPr>
                    <w:pStyle w:val="46"/>
                    <w:rPr>
                      <w:rFonts w:cs="Times New Roman" w:eastAsiaTheme="minorEastAsia"/>
                    </w:rPr>
                  </w:pPr>
                  <w:r>
                    <w:rPr>
                      <w:rFonts w:cs="Times New Roman" w:eastAsiaTheme="minorEastAsia"/>
                    </w:rPr>
                    <w:t>67.0</w:t>
                  </w:r>
                </w:p>
              </w:tc>
              <w:tc>
                <w:tcPr>
                  <w:tcW w:w="721" w:type="dxa"/>
                  <w:shd w:val="clear" w:color="auto" w:fill="auto"/>
                  <w:vAlign w:val="center"/>
                </w:tcPr>
                <w:p>
                  <w:pPr>
                    <w:pStyle w:val="46"/>
                    <w:rPr>
                      <w:rFonts w:cs="Times New Roman" w:eastAsiaTheme="minorEastAsia"/>
                    </w:rPr>
                  </w:pPr>
                  <w:r>
                    <w:rPr>
                      <w:rFonts w:cs="Times New Roman" w:eastAsiaTheme="minorEastAsia"/>
                    </w:rPr>
                    <w:t>64.0</w:t>
                  </w:r>
                </w:p>
              </w:tc>
              <w:tc>
                <w:tcPr>
                  <w:tcW w:w="721" w:type="dxa"/>
                  <w:shd w:val="clear" w:color="auto" w:fill="auto"/>
                  <w:vAlign w:val="center"/>
                </w:tcPr>
                <w:p>
                  <w:pPr>
                    <w:pStyle w:val="46"/>
                    <w:rPr>
                      <w:rFonts w:cs="Times New Roman" w:eastAsiaTheme="minorEastAsia"/>
                    </w:rPr>
                  </w:pPr>
                  <w:r>
                    <w:rPr>
                      <w:rFonts w:cs="Times New Roman" w:eastAsiaTheme="minorEastAsia"/>
                    </w:rPr>
                    <w:t>62.2</w:t>
                  </w:r>
                </w:p>
              </w:tc>
              <w:tc>
                <w:tcPr>
                  <w:tcW w:w="721" w:type="dxa"/>
                  <w:shd w:val="clear" w:color="auto" w:fill="auto"/>
                  <w:vAlign w:val="center"/>
                </w:tcPr>
                <w:p>
                  <w:pPr>
                    <w:pStyle w:val="46"/>
                    <w:rPr>
                      <w:rFonts w:cs="Times New Roman" w:eastAsiaTheme="minorEastAsia"/>
                    </w:rPr>
                  </w:pPr>
                  <w:r>
                    <w:rPr>
                      <w:rFonts w:cs="Times New Roman" w:eastAsiaTheme="minorEastAsia"/>
                    </w:rPr>
                    <w:t>61.0</w:t>
                  </w:r>
                </w:p>
              </w:tc>
              <w:tc>
                <w:tcPr>
                  <w:tcW w:w="850" w:type="dxa"/>
                  <w:shd w:val="clear" w:color="auto" w:fill="auto"/>
                  <w:vAlign w:val="center"/>
                </w:tcPr>
                <w:p>
                  <w:pPr>
                    <w:pStyle w:val="46"/>
                    <w:rPr>
                      <w:rFonts w:cs="Times New Roman" w:eastAsiaTheme="minorEastAsia"/>
                    </w:rPr>
                  </w:pPr>
                  <w:r>
                    <w:rPr>
                      <w:rFonts w:cs="Times New Roman" w:eastAsiaTheme="minorEastAsia"/>
                    </w:rPr>
                    <w:t>60.0</w:t>
                  </w:r>
                </w:p>
              </w:tc>
              <w:tc>
                <w:tcPr>
                  <w:tcW w:w="850" w:type="dxa"/>
                  <w:shd w:val="clear" w:color="auto" w:fill="auto"/>
                  <w:vAlign w:val="center"/>
                </w:tcPr>
                <w:p>
                  <w:pPr>
                    <w:pStyle w:val="46"/>
                    <w:rPr>
                      <w:rFonts w:cs="Times New Roman" w:eastAsiaTheme="minorEastAsia"/>
                    </w:rPr>
                  </w:pPr>
                  <w:r>
                    <w:rPr>
                      <w:rFonts w:cs="Times New Roman" w:eastAsiaTheme="minorEastAsia"/>
                    </w:rPr>
                    <w:t>59.2</w:t>
                  </w:r>
                </w:p>
              </w:tc>
              <w:tc>
                <w:tcPr>
                  <w:tcW w:w="850" w:type="dxa"/>
                  <w:shd w:val="clear" w:color="auto" w:fill="auto"/>
                  <w:vAlign w:val="center"/>
                </w:tcPr>
                <w:p>
                  <w:pPr>
                    <w:pStyle w:val="46"/>
                    <w:rPr>
                      <w:rFonts w:cs="Times New Roman" w:eastAsiaTheme="minorEastAsia"/>
                    </w:rPr>
                  </w:pPr>
                  <w:r>
                    <w:rPr>
                      <w:rFonts w:cs="Times New Roman" w:eastAsiaTheme="minorEastAsia"/>
                    </w:rPr>
                    <w:t>58.0</w:t>
                  </w:r>
                </w:p>
              </w:tc>
              <w:tc>
                <w:tcPr>
                  <w:tcW w:w="841" w:type="dxa"/>
                  <w:shd w:val="clear" w:color="auto" w:fill="auto"/>
                  <w:vAlign w:val="center"/>
                </w:tcPr>
                <w:p>
                  <w:pPr>
                    <w:pStyle w:val="46"/>
                    <w:rPr>
                      <w:rFonts w:cs="Times New Roman" w:eastAsiaTheme="minorEastAsia"/>
                    </w:rPr>
                  </w:pPr>
                  <w:r>
                    <w:rPr>
                      <w:rFonts w:cs="Times New Roman" w:eastAsiaTheme="minorEastAsia"/>
                    </w:rPr>
                    <w:t>57.0</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由上表可知，在不计算地形阻隔、绿化吸收等噪声衰减，仅考虑噪声几何发散衰减的情况下，项目交通噪声经100m距离衰减后，可达到《声环境质量标准》（GB3096-2008）2类昼间标准。</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项目运输噪声主要影响的道路沿线的居民，与道路中心最近的约10m，为避免项目运输噪声对其产生影响，</w:t>
            </w:r>
            <w:r>
              <w:rPr>
                <w:rFonts w:hint="eastAsia" w:ascii="Times New Roman" w:hAnsi="Times New Roman" w:cs="Times New Roman"/>
                <w:sz w:val="24"/>
              </w:rPr>
              <w:t>环评</w:t>
            </w:r>
            <w:r>
              <w:rPr>
                <w:rFonts w:ascii="Times New Roman" w:hAnsi="Times New Roman" w:cs="Times New Roman"/>
                <w:sz w:val="24"/>
              </w:rPr>
              <w:t>要求项目运输应尽量选在昼间进行，同时车辆通过居民点时应减速慢行、禁鸣喇叭，减轻交通噪声对道路沿线居民的影响。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7.2.4营运期</w:t>
            </w:r>
            <w:r>
              <w:rPr>
                <w:rFonts w:ascii="Times New Roman" w:hAnsi="Times New Roman" w:cs="Times New Roman"/>
                <w:b/>
                <w:sz w:val="24"/>
              </w:rPr>
              <w:t>固体废弃物环境影响分析</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（1）一般固废和生活垃圾环境影响分析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本项目产生的固体废物主要为生产固废和生活垃圾，其中生产固废主要为石材加工边角料、沉淀池沉渣（石粉）以及和除尘器收集粉尘。</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石材加工生产线石材切割、磨边产生的边角料转运至本项目砂石生产线用作砂石生产原料；沉淀池沉渣和除尘器收集的粉尘主要成分为石粉，与产品一同外售；项目生活垃圾产生量约1.5t/a，建设单位拟在厂区设置若干垃圾桶，生活垃圾统一收集后交环卫部门清运，运往城市生活垃圾处置场处理。</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（2）危险废物污染防治措施和环境影响分析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营运过程中设备维护、保养和维修过程中产生的的废机油、含油抹布和手套属于危险废物，环评要求建设单位设置危废暂存间，并定期将废机油等危险废物交由有资质的单位处理。根据《国家危险废物名录》（2016版）附录，废弃的含油抹布和手套属于“危险废物豁免管理清单”中的类别（900-041-49），全过程不按危险废物管理，可混入生活垃圾一同交由环卫部门处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①危险废物贮存场所（设施）污染防治措施和环境影响分析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建设单位拟在厂区南侧综合楼内设置一危废暂存间（面积10m</w:t>
            </w:r>
            <w:r>
              <w:rPr>
                <w:rFonts w:hint="eastAsia" w:ascii="Times New Roman" w:hAnsi="Times New Roman" w:cs="Times New Roman"/>
                <w:sz w:val="24"/>
                <w:vertAlign w:val="superscript"/>
              </w:rPr>
              <w:t>2</w:t>
            </w:r>
            <w:r>
              <w:rPr>
                <w:rFonts w:hint="eastAsia" w:ascii="Times New Roman" w:hAnsi="Times New Roman" w:cs="Times New Roman"/>
                <w:sz w:val="24"/>
              </w:rPr>
              <w:t>）。危废暂存间对环境的影响主要为贮存</w:t>
            </w:r>
            <w:r>
              <w:rPr>
                <w:rFonts w:ascii="Times New Roman" w:hAnsi="Times New Roman" w:cs="Times New Roman"/>
                <w:sz w:val="24"/>
              </w:rPr>
              <w:t>容器选用不当或者容器强度不符合要求</w:t>
            </w:r>
            <w:r>
              <w:rPr>
                <w:rFonts w:hint="eastAsia" w:ascii="Times New Roman" w:hAnsi="Times New Roman" w:cs="Times New Roman"/>
                <w:sz w:val="24"/>
              </w:rPr>
              <w:t>导致危险废物泄漏，引起贮存场所土壤、地下水和周边大气污染。本项目危废贮存期不超过12个月，贮存量较小，建设单位应按照《危险废物贮存污染控制标准》（GB18597-2001）及2013年修改单相关要求建设危废暂存间，采用密闭容器贮存危险废物，贮存场所地面采用防渗地面，并设置围堰。采取上述措施后，基本不会发生渗漏等事故，对土壤、地下水和周边大气环境产生的影响较小。</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jc w:val="center"/>
              <w:rPr>
                <w:rFonts w:ascii="Times New Roman" w:hAnsi="Times New Roman" w:cs="Times New Roman"/>
                <w:b/>
                <w:bCs/>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18</w:t>
            </w:r>
            <w:r>
              <w:rPr>
                <w:rFonts w:ascii="Times New Roman" w:hAnsi="Times New Roman" w:cs="Times New Roman"/>
                <w:b/>
                <w:bCs/>
              </w:rPr>
              <w:fldChar w:fldCharType="end"/>
            </w:r>
            <w:r>
              <w:rPr>
                <w:rFonts w:hint="eastAsia" w:ascii="Times New Roman" w:hAnsi="Times New Roman" w:cs="Times New Roman"/>
                <w:b/>
                <w:bCs/>
              </w:rPr>
              <w:t>建设项目危险废物贮存场所（设施）基本情况表</w:t>
            </w:r>
          </w:p>
          <w:tbl>
            <w:tblPr>
              <w:tblStyle w:val="25"/>
              <w:tblW w:w="905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104"/>
              <w:gridCol w:w="1063"/>
              <w:gridCol w:w="858"/>
              <w:gridCol w:w="1114"/>
              <w:gridCol w:w="705"/>
              <w:gridCol w:w="986"/>
              <w:gridCol w:w="986"/>
              <w:gridCol w:w="799"/>
              <w:gridCol w:w="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09"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序号</w:t>
                  </w:r>
                </w:p>
              </w:tc>
              <w:tc>
                <w:tcPr>
                  <w:tcW w:w="1104"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贮存场所（设施）</w:t>
                  </w:r>
                </w:p>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名称</w:t>
                  </w:r>
                </w:p>
              </w:tc>
              <w:tc>
                <w:tcPr>
                  <w:tcW w:w="1063"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危险废物名称</w:t>
                  </w:r>
                </w:p>
              </w:tc>
              <w:tc>
                <w:tcPr>
                  <w:tcW w:w="858"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危险废物类别</w:t>
                  </w:r>
                </w:p>
              </w:tc>
              <w:tc>
                <w:tcPr>
                  <w:tcW w:w="1114"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危险废物代码</w:t>
                  </w:r>
                </w:p>
              </w:tc>
              <w:tc>
                <w:tcPr>
                  <w:tcW w:w="705"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位置</w:t>
                  </w:r>
                </w:p>
              </w:tc>
              <w:tc>
                <w:tcPr>
                  <w:tcW w:w="986"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占地面积</w:t>
                  </w:r>
                </w:p>
              </w:tc>
              <w:tc>
                <w:tcPr>
                  <w:tcW w:w="986"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贮存方式</w:t>
                  </w:r>
                </w:p>
              </w:tc>
              <w:tc>
                <w:tcPr>
                  <w:tcW w:w="799"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贮存</w:t>
                  </w:r>
                </w:p>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能力</w:t>
                  </w:r>
                </w:p>
              </w:tc>
              <w:tc>
                <w:tcPr>
                  <w:tcW w:w="926"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贮存</w:t>
                  </w:r>
                </w:p>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09" w:type="dxa"/>
                  <w:vMerge w:val="restart"/>
                  <w:vAlign w:val="center"/>
                </w:tcPr>
                <w:p>
                  <w:pPr>
                    <w:pStyle w:val="53"/>
                    <w:numPr>
                      <w:ilvl w:val="0"/>
                      <w:numId w:val="15"/>
                    </w:numPr>
                    <w:topLinePunct/>
                    <w:adjustRightInd w:val="0"/>
                    <w:snapToGrid w:val="0"/>
                    <w:ind w:firstLineChars="0"/>
                    <w:jc w:val="center"/>
                    <w:rPr>
                      <w:rFonts w:ascii="Times New Roman" w:hAnsi="Times New Roman" w:cs="Times New Roman"/>
                      <w:kern w:val="0"/>
                      <w:szCs w:val="21"/>
                    </w:rPr>
                  </w:pPr>
                </w:p>
              </w:tc>
              <w:tc>
                <w:tcPr>
                  <w:tcW w:w="1104" w:type="dxa"/>
                  <w:vMerge w:val="restart"/>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危废暂存间</w:t>
                  </w:r>
                </w:p>
              </w:tc>
              <w:tc>
                <w:tcPr>
                  <w:tcW w:w="1063"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废</w:t>
                  </w:r>
                  <w:r>
                    <w:rPr>
                      <w:rFonts w:hint="eastAsia" w:ascii="Times New Roman" w:hAnsi="Times New Roman" w:cs="Times New Roman"/>
                      <w:kern w:val="0"/>
                      <w:szCs w:val="21"/>
                    </w:rPr>
                    <w:t>机油</w:t>
                  </w:r>
                </w:p>
              </w:tc>
              <w:tc>
                <w:tcPr>
                  <w:tcW w:w="858"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HW08废矿物油与含矿物油废物</w:t>
                  </w:r>
                </w:p>
              </w:tc>
              <w:tc>
                <w:tcPr>
                  <w:tcW w:w="1114"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szCs w:val="21"/>
                    </w:rPr>
                    <w:t>900-214-08</w:t>
                  </w:r>
                </w:p>
              </w:tc>
              <w:tc>
                <w:tcPr>
                  <w:tcW w:w="705" w:type="dxa"/>
                  <w:vAlign w:val="center"/>
                </w:tcPr>
                <w:p>
                  <w:pPr>
                    <w:topLinePunct/>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厂区南侧</w:t>
                  </w:r>
                </w:p>
              </w:tc>
              <w:tc>
                <w:tcPr>
                  <w:tcW w:w="986" w:type="dxa"/>
                  <w:vAlign w:val="center"/>
                </w:tcPr>
                <w:p>
                  <w:pPr>
                    <w:topLinePunct/>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10</w:t>
                  </w:r>
                  <w:r>
                    <w:rPr>
                      <w:rFonts w:ascii="Times New Roman" w:hAnsi="Times New Roman" w:cs="Times New Roman"/>
                      <w:kern w:val="0"/>
                      <w:szCs w:val="21"/>
                    </w:rPr>
                    <w:t>m</w:t>
                  </w:r>
                  <w:r>
                    <w:rPr>
                      <w:rFonts w:ascii="Times New Roman" w:hAnsi="Times New Roman" w:cs="Times New Roman"/>
                      <w:kern w:val="0"/>
                      <w:szCs w:val="21"/>
                      <w:vertAlign w:val="superscript"/>
                    </w:rPr>
                    <w:t>2</w:t>
                  </w:r>
                </w:p>
              </w:tc>
              <w:tc>
                <w:tcPr>
                  <w:tcW w:w="986"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密闭收集桶</w:t>
                  </w:r>
                </w:p>
              </w:tc>
              <w:tc>
                <w:tcPr>
                  <w:tcW w:w="799"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0.</w:t>
                  </w:r>
                  <w:r>
                    <w:rPr>
                      <w:rFonts w:hint="eastAsia" w:ascii="Times New Roman" w:hAnsi="Times New Roman" w:cs="Times New Roman"/>
                      <w:kern w:val="0"/>
                      <w:szCs w:val="21"/>
                    </w:rPr>
                    <w:t>5</w:t>
                  </w:r>
                  <w:r>
                    <w:rPr>
                      <w:rFonts w:ascii="Times New Roman" w:hAnsi="Times New Roman" w:cs="Times New Roman"/>
                      <w:kern w:val="0"/>
                      <w:szCs w:val="21"/>
                    </w:rPr>
                    <w:t>t</w:t>
                  </w:r>
                </w:p>
              </w:tc>
              <w:tc>
                <w:tcPr>
                  <w:tcW w:w="926" w:type="dxa"/>
                  <w:vAlign w:val="center"/>
                </w:tcPr>
                <w:p>
                  <w:pPr>
                    <w:topLinePunct/>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09" w:type="dxa"/>
                  <w:vMerge w:val="continue"/>
                  <w:vAlign w:val="center"/>
                </w:tcPr>
                <w:p>
                  <w:pPr>
                    <w:pStyle w:val="53"/>
                    <w:numPr>
                      <w:ilvl w:val="0"/>
                      <w:numId w:val="15"/>
                    </w:numPr>
                    <w:topLinePunct/>
                    <w:adjustRightInd w:val="0"/>
                    <w:snapToGrid w:val="0"/>
                    <w:ind w:firstLineChars="0"/>
                    <w:jc w:val="center"/>
                    <w:rPr>
                      <w:rFonts w:ascii="Times New Roman" w:hAnsi="Times New Roman" w:cs="Times New Roman"/>
                      <w:kern w:val="0"/>
                      <w:szCs w:val="21"/>
                    </w:rPr>
                  </w:pPr>
                </w:p>
              </w:tc>
              <w:tc>
                <w:tcPr>
                  <w:tcW w:w="1104" w:type="dxa"/>
                  <w:vMerge w:val="continue"/>
                  <w:vAlign w:val="center"/>
                </w:tcPr>
                <w:p>
                  <w:pPr>
                    <w:topLinePunct/>
                    <w:adjustRightInd w:val="0"/>
                    <w:snapToGrid w:val="0"/>
                    <w:jc w:val="center"/>
                    <w:rPr>
                      <w:rFonts w:ascii="Times New Roman" w:hAnsi="Times New Roman" w:cs="Times New Roman"/>
                      <w:kern w:val="0"/>
                      <w:szCs w:val="21"/>
                    </w:rPr>
                  </w:pPr>
                </w:p>
              </w:tc>
              <w:tc>
                <w:tcPr>
                  <w:tcW w:w="1063" w:type="dxa"/>
                  <w:vAlign w:val="center"/>
                </w:tcPr>
                <w:p>
                  <w:pPr>
                    <w:topLinePunct/>
                    <w:adjustRightInd w:val="0"/>
                    <w:snapToGrid w:val="0"/>
                    <w:jc w:val="center"/>
                    <w:rPr>
                      <w:rFonts w:ascii="Times New Roman" w:hAnsi="Times New Roman" w:cs="Times New Roman"/>
                      <w:szCs w:val="21"/>
                    </w:rPr>
                  </w:pPr>
                  <w:r>
                    <w:rPr>
                      <w:rFonts w:ascii="Times New Roman" w:hAnsi="Times New Roman" w:cs="Times New Roman"/>
                      <w:szCs w:val="21"/>
                    </w:rPr>
                    <w:t>含油抹布及手套</w:t>
                  </w:r>
                </w:p>
              </w:tc>
              <w:tc>
                <w:tcPr>
                  <w:tcW w:w="858" w:type="dxa"/>
                  <w:vAlign w:val="center"/>
                </w:tcPr>
                <w:p>
                  <w:pPr>
                    <w:topLinePunct/>
                    <w:adjustRightInd w:val="0"/>
                    <w:snapToGrid w:val="0"/>
                    <w:jc w:val="center"/>
                    <w:rPr>
                      <w:rFonts w:ascii="Times New Roman" w:hAnsi="Times New Roman" w:cs="Times New Roman"/>
                      <w:szCs w:val="21"/>
                    </w:rPr>
                  </w:pPr>
                  <w:r>
                    <w:rPr>
                      <w:rFonts w:ascii="Times New Roman" w:hAnsi="Times New Roman" w:cs="Times New Roman"/>
                      <w:szCs w:val="21"/>
                    </w:rPr>
                    <w:t>HW49其他废物</w:t>
                  </w:r>
                </w:p>
              </w:tc>
              <w:tc>
                <w:tcPr>
                  <w:tcW w:w="1114" w:type="dxa"/>
                  <w:vAlign w:val="center"/>
                </w:tcPr>
                <w:p>
                  <w:pPr>
                    <w:topLinePunct/>
                    <w:adjustRightInd w:val="0"/>
                    <w:snapToGrid w:val="0"/>
                    <w:jc w:val="center"/>
                    <w:rPr>
                      <w:rFonts w:ascii="Times New Roman" w:hAnsi="Times New Roman" w:cs="Times New Roman"/>
                      <w:szCs w:val="21"/>
                    </w:rPr>
                  </w:pPr>
                  <w:r>
                    <w:rPr>
                      <w:rFonts w:ascii="Times New Roman" w:hAnsi="Times New Roman" w:cs="Times New Roman"/>
                      <w:szCs w:val="21"/>
                    </w:rPr>
                    <w:t>900-041-49</w:t>
                  </w:r>
                </w:p>
              </w:tc>
              <w:tc>
                <w:tcPr>
                  <w:tcW w:w="705" w:type="dxa"/>
                  <w:vAlign w:val="center"/>
                </w:tcPr>
                <w:p>
                  <w:pPr>
                    <w:topLinePunct/>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厂区南侧</w:t>
                  </w:r>
                </w:p>
              </w:tc>
              <w:tc>
                <w:tcPr>
                  <w:tcW w:w="3697" w:type="dxa"/>
                  <w:gridSpan w:val="4"/>
                  <w:vAlign w:val="center"/>
                </w:tcPr>
                <w:p>
                  <w:pPr>
                    <w:topLinePunct/>
                    <w:adjustRightInd w:val="0"/>
                    <w:snapToGrid w:val="0"/>
                    <w:jc w:val="center"/>
                    <w:rPr>
                      <w:rFonts w:ascii="Times New Roman" w:hAnsi="Times New Roman" w:cs="Times New Roman"/>
                      <w:kern w:val="0"/>
                      <w:szCs w:val="21"/>
                    </w:rPr>
                  </w:pPr>
                  <w:r>
                    <w:rPr>
                      <w:rFonts w:hint="eastAsia" w:ascii="Times New Roman" w:hAnsi="Times New Roman" w:cs="Times New Roman"/>
                      <w:kern w:val="0"/>
                      <w:szCs w:val="21"/>
                    </w:rPr>
                    <w:t>日产日清，混合生活垃圾一同处置</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②运输过程的污染防治措施和环境影响分析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危废暂存间拟设置于厂区南部办公综合楼内，距离危废产生点较近，危废内部转运距离短。环评要求建设单位严格按照《危险废物收集贮存运输技术规范》（HJ2025-2012）的要求做好危废从产生点到危废间的转运工作，加强作业人员培训，建立危废内部转移联单制度，防止危险废物从产生工艺环节运输到贮存场所产生散落、泄漏，降低环境影响。</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本项目应严格执行《危险废物贮存污染控制标准》（</w:t>
            </w:r>
            <w:r>
              <w:rPr>
                <w:rFonts w:ascii="Times New Roman" w:hAnsi="Times New Roman" w:cs="Times New Roman"/>
                <w:sz w:val="24"/>
              </w:rPr>
              <w:t>GB18597-2001</w:t>
            </w:r>
            <w:r>
              <w:rPr>
                <w:rFonts w:hint="eastAsia" w:ascii="Times New Roman" w:hAnsi="Times New Roman" w:cs="Times New Roman"/>
                <w:sz w:val="24"/>
              </w:rPr>
              <w:t>）和《危险废物收集贮存运输技术规范》（HJ2025-2012），危险废物的运输和处置任务均交由专业的危废收集、转运和处置机构承担，严格执行《危险废物收集、贮存、运输技术规范》（</w:t>
            </w:r>
            <w:r>
              <w:rPr>
                <w:rFonts w:ascii="Times New Roman" w:hAnsi="Times New Roman" w:cs="Times New Roman"/>
                <w:sz w:val="24"/>
              </w:rPr>
              <w:t>HJ2025-2012</w:t>
            </w:r>
            <w:r>
              <w:rPr>
                <w:rFonts w:hint="eastAsia" w:ascii="Times New Roman" w:hAnsi="Times New Roman" w:cs="Times New Roman"/>
                <w:sz w:val="24"/>
              </w:rPr>
              <w:t>）和《危险废物转移联单管理办法》，危险废物转移前向生态环境主管部门报批危险废物转移计划，经批准后，向生态环境主管部门申请领取联单，并在转移前三日内报告移出地生态环境主管部门，并同时将预期到达时间报告接受地环境保护行政主管部门。危废运输由专业的运输单位负责，本项目危险废物产生量很少，在运输过程中采用封闭运输，运输过程中不易散落和泄漏，不会对土壤、地下水和区域大气环境产生明显不利影响。</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③委托利用或者处置的污染防治措施和环境影响分析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产生的危险废物最终将交由转运的危废处置机构处理，项目建成后将选择获颁危险废物经营许可证并具有相应危废处置类别资质，且环评和验收等环保手续完善的企业签订危废处置协议。危废处置单位自身具有危废处置二次污染防治设备和设施，危废处置产生废水、废气、噪声和固废可以做到达标排放，危废处置导致的环境影响不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综上分析，采取以上的处置措施后，再加之严格管理，项目运营期产生的固体废弃物均能够得到妥善的处置，不会对周围环境产生明显的不利影响。</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7.2.5环境风险分析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境风险评价是分析和预测建设项目存在的潜在危险、有害因素，对项目建设和运行期间的可预测突发性事件或事故引起的有毒有害、易燃易爆等物质泄露，所造成的人身安全与环境影响和损害程度，提出合理可行的防范、应急与减缓措施，分析可能造成突发性的污染源，计算确定其风险度，最后预测事故发生可能影响的最大范围，并以此为环境管理和生产部门提供决策依据。</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（1）环境风险潜势初判和风险评价等级划分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w:t>
            </w:r>
            <w:r>
              <w:rPr>
                <w:rFonts w:ascii="Times New Roman" w:hAnsi="Times New Roman" w:cs="Times New Roman"/>
                <w:sz w:val="24"/>
              </w:rPr>
              <w:t>《建设项目环境风险评价技术导则》（HJ</w:t>
            </w:r>
            <w:r>
              <w:rPr>
                <w:rFonts w:hint="eastAsia" w:ascii="Times New Roman" w:hAnsi="Times New Roman" w:cs="Times New Roman"/>
                <w:sz w:val="24"/>
              </w:rPr>
              <w:t xml:space="preserve"> </w:t>
            </w:r>
            <w:r>
              <w:rPr>
                <w:rFonts w:ascii="Times New Roman" w:hAnsi="Times New Roman" w:cs="Times New Roman"/>
                <w:sz w:val="24"/>
              </w:rPr>
              <w:t>169-20</w:t>
            </w:r>
            <w:r>
              <w:rPr>
                <w:rFonts w:hint="eastAsia" w:ascii="Times New Roman" w:hAnsi="Times New Roman" w:cs="Times New Roman"/>
                <w:sz w:val="24"/>
              </w:rPr>
              <w:t>18</w:t>
            </w:r>
            <w:r>
              <w:rPr>
                <w:rFonts w:ascii="Times New Roman" w:hAnsi="Times New Roman" w:cs="Times New Roman"/>
                <w:sz w:val="24"/>
              </w:rPr>
              <w:t>）</w:t>
            </w:r>
            <w:r>
              <w:rPr>
                <w:rFonts w:hint="eastAsia" w:ascii="Times New Roman" w:hAnsi="Times New Roman" w:cs="Times New Roman"/>
                <w:sz w:val="24"/>
              </w:rPr>
              <w:t>，环境风险评价工作等级划分为一级、二级、三级。根据建设项目涉及的物质及工艺系统危险性和所在地的环境敏感性确定环境风险潜势（划分依据详见</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_Ref3277813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表7-</w:t>
            </w:r>
            <w:r>
              <w:rPr>
                <w:rFonts w:ascii="Times New Roman" w:hAnsi="Times New Roman" w:cs="Times New Roman"/>
                <w:sz w:val="24"/>
              </w:rPr>
              <w:t>19</w:t>
            </w:r>
            <w:r>
              <w:rPr>
                <w:rFonts w:ascii="Times New Roman" w:hAnsi="Times New Roman" w:cs="Times New Roman"/>
                <w:sz w:val="24"/>
              </w:rPr>
              <w:fldChar w:fldCharType="end"/>
            </w:r>
            <w:r>
              <w:rPr>
                <w:rFonts w:hint="eastAsia" w:ascii="Times New Roman" w:hAnsi="Times New Roman" w:cs="Times New Roman"/>
                <w:sz w:val="24"/>
              </w:rPr>
              <w:t>），进而确定评价工作等级。风险潜势为Ⅳ及以上，进行一级评价；风险潜势为Ⅲ，进行二级评价；风险潜势为Ⅱ，进行三级评价；风险潜势为Ⅰ，可开展简单分析。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环境风险潜势划分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环境风险潜势划分为Ⅰ、Ⅱ、Ⅲ、Ⅳ/Ⅳ+级，本环评根据拟建建设项目涉及的物质和工艺系统的危险性及其所在地的环境敏感程度，结合事故情形下环境影响途径，对建设项目潜在环境危害程度进行概化分析。</w:t>
            </w:r>
          </w:p>
          <w:p>
            <w:pPr>
              <w:pStyle w:val="71"/>
              <w:widowControl w:val="0"/>
              <w:spacing w:before="156"/>
              <w:rPr>
                <w:bCs/>
              </w:rPr>
            </w:pPr>
            <w:bookmarkStart w:id="72" w:name="_Ref3277813"/>
            <w:r>
              <w:rPr>
                <w:rFonts w:hint="eastAsia"/>
                <w:bCs/>
              </w:rPr>
              <w:t>表7-</w:t>
            </w:r>
            <w:r>
              <w:rPr>
                <w:b w:val="0"/>
                <w:bCs/>
              </w:rPr>
              <w:fldChar w:fldCharType="begin"/>
            </w:r>
            <w:r>
              <w:rPr>
                <w:bCs/>
              </w:rPr>
              <w:instrText xml:space="preserve"> </w:instrText>
            </w:r>
            <w:r>
              <w:rPr>
                <w:rFonts w:hint="eastAsia"/>
                <w:bCs/>
              </w:rPr>
              <w:instrText xml:space="preserve">SEQ 表7- \* ARABIC</w:instrText>
            </w:r>
            <w:r>
              <w:rPr>
                <w:bCs/>
              </w:rPr>
              <w:instrText xml:space="preserve"> </w:instrText>
            </w:r>
            <w:r>
              <w:rPr>
                <w:b w:val="0"/>
                <w:bCs/>
              </w:rPr>
              <w:fldChar w:fldCharType="separate"/>
            </w:r>
            <w:r>
              <w:rPr>
                <w:bCs/>
              </w:rPr>
              <w:t>19</w:t>
            </w:r>
            <w:r>
              <w:rPr>
                <w:b w:val="0"/>
                <w:bCs/>
              </w:rPr>
              <w:fldChar w:fldCharType="end"/>
            </w:r>
            <w:bookmarkEnd w:id="72"/>
            <w:r>
              <w:rPr>
                <w:rFonts w:hint="eastAsia"/>
                <w:bCs/>
              </w:rPr>
              <w:t xml:space="preserve"> </w:t>
            </w:r>
            <w:r>
              <w:rPr>
                <w:bCs/>
              </w:rPr>
              <w:t xml:space="preserve">  </w:t>
            </w:r>
            <w:r>
              <w:rPr>
                <w:rFonts w:hint="eastAsia"/>
                <w:bCs/>
              </w:rPr>
              <w:t>环境风险潜势划分</w:t>
            </w:r>
          </w:p>
          <w:tbl>
            <w:tblPr>
              <w:tblStyle w:val="25"/>
              <w:tblW w:w="8306" w:type="dxa"/>
              <w:tblInd w:w="115" w:type="dxa"/>
              <w:tblLayout w:type="fixed"/>
              <w:tblCellMar>
                <w:top w:w="0" w:type="dxa"/>
                <w:left w:w="57" w:type="dxa"/>
                <w:bottom w:w="0" w:type="dxa"/>
                <w:right w:w="57" w:type="dxa"/>
              </w:tblCellMar>
            </w:tblPr>
            <w:tblGrid>
              <w:gridCol w:w="2352"/>
              <w:gridCol w:w="1488"/>
              <w:gridCol w:w="1489"/>
              <w:gridCol w:w="1488"/>
              <w:gridCol w:w="1489"/>
            </w:tblGrid>
            <w:tr>
              <w:tblPrEx>
                <w:tblLayout w:type="fixed"/>
                <w:tblCellMar>
                  <w:top w:w="0" w:type="dxa"/>
                  <w:left w:w="57" w:type="dxa"/>
                  <w:bottom w:w="0" w:type="dxa"/>
                  <w:right w:w="57" w:type="dxa"/>
                </w:tblCellMar>
              </w:tblPrEx>
              <w:trPr>
                <w:trHeight w:val="397" w:hRule="atLeast"/>
              </w:trPr>
              <w:tc>
                <w:tcPr>
                  <w:tcW w:w="2352" w:type="dxa"/>
                  <w:vMerge w:val="restart"/>
                  <w:tcBorders>
                    <w:top w:val="single" w:color="000000" w:sz="8" w:space="0"/>
                    <w:left w:val="single" w:color="000000" w:sz="8"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7"/>
                      <w:kern w:val="0"/>
                      <w:szCs w:val="21"/>
                    </w:rPr>
                    <w:t>环</w:t>
                  </w:r>
                  <w:r>
                    <w:rPr>
                      <w:rFonts w:ascii="Times New Roman" w:hAnsi="Times New Roman" w:cs="Times New Roman"/>
                      <w:b/>
                      <w:spacing w:val="8"/>
                      <w:kern w:val="0"/>
                      <w:szCs w:val="21"/>
                    </w:rPr>
                    <w:t>境敏</w:t>
                  </w:r>
                  <w:r>
                    <w:rPr>
                      <w:rFonts w:ascii="Times New Roman" w:hAnsi="Times New Roman" w:cs="Times New Roman"/>
                      <w:b/>
                      <w:spacing w:val="7"/>
                      <w:kern w:val="0"/>
                      <w:szCs w:val="21"/>
                    </w:rPr>
                    <w:t>感</w:t>
                  </w:r>
                  <w:r>
                    <w:rPr>
                      <w:rFonts w:ascii="Times New Roman" w:hAnsi="Times New Roman" w:cs="Times New Roman"/>
                      <w:b/>
                      <w:spacing w:val="8"/>
                      <w:kern w:val="0"/>
                      <w:szCs w:val="21"/>
                    </w:rPr>
                    <w:t>程度</w:t>
                  </w:r>
                  <w:r>
                    <w:rPr>
                      <w:rFonts w:ascii="Times New Roman" w:hAnsi="Times New Roman" w:cs="Times New Roman"/>
                      <w:b/>
                      <w:spacing w:val="7"/>
                      <w:kern w:val="0"/>
                      <w:szCs w:val="21"/>
                    </w:rPr>
                    <w:t>（</w:t>
                  </w:r>
                  <w:r>
                    <w:rPr>
                      <w:rFonts w:ascii="Times New Roman" w:hAnsi="Times New Roman" w:cs="Times New Roman"/>
                      <w:b/>
                      <w:spacing w:val="4"/>
                      <w:kern w:val="0"/>
                      <w:szCs w:val="21"/>
                    </w:rPr>
                    <w:t>E</w:t>
                  </w:r>
                  <w:r>
                    <w:rPr>
                      <w:rFonts w:ascii="Times New Roman" w:hAnsi="Times New Roman" w:cs="Times New Roman"/>
                      <w:b/>
                      <w:kern w:val="0"/>
                      <w:szCs w:val="21"/>
                    </w:rPr>
                    <w:t>）</w:t>
                  </w:r>
                </w:p>
              </w:tc>
              <w:tc>
                <w:tcPr>
                  <w:tcW w:w="5954" w:type="dxa"/>
                  <w:gridSpan w:val="4"/>
                  <w:tcBorders>
                    <w:top w:val="single" w:color="000000" w:sz="8" w:space="0"/>
                    <w:left w:val="single" w:color="000000" w:sz="4" w:space="0"/>
                    <w:bottom w:val="single" w:color="000000" w:sz="4" w:space="0"/>
                    <w:right w:val="single" w:color="000000" w:sz="8"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8"/>
                      <w:kern w:val="0"/>
                      <w:szCs w:val="21"/>
                    </w:rPr>
                    <w:t>危险物</w:t>
                  </w:r>
                  <w:r>
                    <w:rPr>
                      <w:rFonts w:ascii="Times New Roman" w:hAnsi="Times New Roman" w:cs="Times New Roman"/>
                      <w:b/>
                      <w:spacing w:val="7"/>
                      <w:kern w:val="0"/>
                      <w:szCs w:val="21"/>
                    </w:rPr>
                    <w:t>质</w:t>
                  </w:r>
                  <w:r>
                    <w:rPr>
                      <w:rFonts w:ascii="Times New Roman" w:hAnsi="Times New Roman" w:cs="Times New Roman"/>
                      <w:b/>
                      <w:spacing w:val="8"/>
                      <w:kern w:val="0"/>
                      <w:szCs w:val="21"/>
                    </w:rPr>
                    <w:t>及工</w:t>
                  </w:r>
                  <w:r>
                    <w:rPr>
                      <w:rFonts w:ascii="Times New Roman" w:hAnsi="Times New Roman" w:cs="Times New Roman"/>
                      <w:b/>
                      <w:spacing w:val="7"/>
                      <w:kern w:val="0"/>
                      <w:szCs w:val="21"/>
                    </w:rPr>
                    <w:t>艺</w:t>
                  </w:r>
                  <w:r>
                    <w:rPr>
                      <w:rFonts w:ascii="Times New Roman" w:hAnsi="Times New Roman" w:cs="Times New Roman"/>
                      <w:b/>
                      <w:spacing w:val="8"/>
                      <w:kern w:val="0"/>
                      <w:szCs w:val="21"/>
                    </w:rPr>
                    <w:t>系统</w:t>
                  </w:r>
                  <w:r>
                    <w:rPr>
                      <w:rFonts w:ascii="Times New Roman" w:hAnsi="Times New Roman" w:cs="Times New Roman"/>
                      <w:b/>
                      <w:spacing w:val="7"/>
                      <w:kern w:val="0"/>
                      <w:szCs w:val="21"/>
                    </w:rPr>
                    <w:t>危</w:t>
                  </w:r>
                  <w:r>
                    <w:rPr>
                      <w:rFonts w:ascii="Times New Roman" w:hAnsi="Times New Roman" w:cs="Times New Roman"/>
                      <w:b/>
                      <w:spacing w:val="8"/>
                      <w:kern w:val="0"/>
                      <w:szCs w:val="21"/>
                    </w:rPr>
                    <w:t>险性</w:t>
                  </w:r>
                  <w:r>
                    <w:rPr>
                      <w:rFonts w:ascii="Times New Roman" w:hAnsi="Times New Roman" w:cs="Times New Roman"/>
                      <w:b/>
                      <w:spacing w:val="7"/>
                      <w:kern w:val="0"/>
                      <w:szCs w:val="21"/>
                    </w:rPr>
                    <w:t>（</w:t>
                  </w:r>
                  <w:r>
                    <w:rPr>
                      <w:rFonts w:ascii="Times New Roman" w:hAnsi="Times New Roman" w:cs="Times New Roman"/>
                      <w:b/>
                      <w:spacing w:val="4"/>
                      <w:kern w:val="0"/>
                      <w:szCs w:val="21"/>
                    </w:rPr>
                    <w:t>P</w:t>
                  </w:r>
                  <w:r>
                    <w:rPr>
                      <w:rFonts w:ascii="Times New Roman" w:hAnsi="Times New Roman" w:cs="Times New Roman"/>
                      <w:b/>
                      <w:kern w:val="0"/>
                      <w:szCs w:val="21"/>
                    </w:rPr>
                    <w:t>）</w:t>
                  </w:r>
                </w:p>
              </w:tc>
            </w:tr>
            <w:tr>
              <w:tblPrEx>
                <w:tblLayout w:type="fixed"/>
                <w:tblCellMar>
                  <w:top w:w="0" w:type="dxa"/>
                  <w:left w:w="57" w:type="dxa"/>
                  <w:bottom w:w="0" w:type="dxa"/>
                  <w:right w:w="57" w:type="dxa"/>
                </w:tblCellMar>
              </w:tblPrEx>
              <w:trPr>
                <w:trHeight w:val="397" w:hRule="atLeast"/>
              </w:trPr>
              <w:tc>
                <w:tcPr>
                  <w:tcW w:w="2352" w:type="dxa"/>
                  <w:vMerge w:val="continue"/>
                  <w:tcBorders>
                    <w:top w:val="single" w:color="000000" w:sz="8" w:space="0"/>
                    <w:left w:val="single" w:color="000000" w:sz="8"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b/>
                      <w:kern w:val="0"/>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7"/>
                      <w:kern w:val="0"/>
                      <w:position w:val="-1"/>
                      <w:szCs w:val="21"/>
                    </w:rPr>
                    <w:t>极</w:t>
                  </w:r>
                  <w:r>
                    <w:rPr>
                      <w:rFonts w:ascii="Times New Roman" w:hAnsi="Times New Roman" w:cs="Times New Roman"/>
                      <w:b/>
                      <w:spacing w:val="8"/>
                      <w:kern w:val="0"/>
                      <w:position w:val="-1"/>
                      <w:szCs w:val="21"/>
                    </w:rPr>
                    <w:t>高危</w:t>
                  </w:r>
                  <w:r>
                    <w:rPr>
                      <w:rFonts w:ascii="Times New Roman" w:hAnsi="Times New Roman" w:cs="Times New Roman"/>
                      <w:b/>
                      <w:spacing w:val="7"/>
                      <w:kern w:val="0"/>
                      <w:position w:val="-1"/>
                      <w:szCs w:val="21"/>
                    </w:rPr>
                    <w:t>害</w:t>
                  </w:r>
                  <w:r>
                    <w:rPr>
                      <w:rFonts w:ascii="Times New Roman" w:hAnsi="Times New Roman" w:cs="Times New Roman"/>
                      <w:b/>
                      <w:spacing w:val="8"/>
                      <w:kern w:val="0"/>
                      <w:position w:val="-1"/>
                      <w:szCs w:val="21"/>
                    </w:rPr>
                    <w:t>（</w:t>
                  </w:r>
                  <w:r>
                    <w:rPr>
                      <w:rFonts w:ascii="Times New Roman" w:hAnsi="Times New Roman" w:cs="Times New Roman"/>
                      <w:b/>
                      <w:spacing w:val="3"/>
                      <w:kern w:val="0"/>
                      <w:position w:val="-1"/>
                      <w:szCs w:val="21"/>
                    </w:rPr>
                    <w:t>P</w:t>
                  </w:r>
                  <w:r>
                    <w:rPr>
                      <w:rFonts w:ascii="Times New Roman" w:hAnsi="Times New Roman" w:cs="Times New Roman"/>
                      <w:b/>
                      <w:spacing w:val="5"/>
                      <w:kern w:val="0"/>
                      <w:position w:val="-1"/>
                      <w:szCs w:val="21"/>
                    </w:rPr>
                    <w:t>1</w:t>
                  </w:r>
                  <w:r>
                    <w:rPr>
                      <w:rFonts w:ascii="Times New Roman" w:hAnsi="Times New Roman" w:cs="Times New Roman"/>
                      <w:b/>
                      <w:kern w:val="0"/>
                      <w:position w:val="-1"/>
                      <w:szCs w:val="21"/>
                    </w:rPr>
                    <w:t>）</w:t>
                  </w:r>
                </w:p>
              </w:tc>
              <w:tc>
                <w:tcPr>
                  <w:tcW w:w="14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7"/>
                      <w:kern w:val="0"/>
                      <w:position w:val="-1"/>
                      <w:szCs w:val="21"/>
                    </w:rPr>
                    <w:t>高</w:t>
                  </w:r>
                  <w:r>
                    <w:rPr>
                      <w:rFonts w:ascii="Times New Roman" w:hAnsi="Times New Roman" w:cs="Times New Roman"/>
                      <w:b/>
                      <w:spacing w:val="8"/>
                      <w:kern w:val="0"/>
                      <w:position w:val="-1"/>
                      <w:szCs w:val="21"/>
                    </w:rPr>
                    <w:t>度危</w:t>
                  </w:r>
                  <w:r>
                    <w:rPr>
                      <w:rFonts w:ascii="Times New Roman" w:hAnsi="Times New Roman" w:cs="Times New Roman"/>
                      <w:b/>
                      <w:spacing w:val="7"/>
                      <w:kern w:val="0"/>
                      <w:position w:val="-1"/>
                      <w:szCs w:val="21"/>
                    </w:rPr>
                    <w:t>害</w:t>
                  </w:r>
                  <w:r>
                    <w:rPr>
                      <w:rFonts w:ascii="Times New Roman" w:hAnsi="Times New Roman" w:cs="Times New Roman"/>
                      <w:b/>
                      <w:spacing w:val="8"/>
                      <w:kern w:val="0"/>
                      <w:position w:val="-1"/>
                      <w:szCs w:val="21"/>
                    </w:rPr>
                    <w:t>（</w:t>
                  </w:r>
                  <w:r>
                    <w:rPr>
                      <w:rFonts w:ascii="Times New Roman" w:hAnsi="Times New Roman" w:cs="Times New Roman"/>
                      <w:b/>
                      <w:spacing w:val="3"/>
                      <w:kern w:val="0"/>
                      <w:position w:val="-1"/>
                      <w:szCs w:val="21"/>
                    </w:rPr>
                    <w:t>P</w:t>
                  </w:r>
                  <w:r>
                    <w:rPr>
                      <w:rFonts w:ascii="Times New Roman" w:hAnsi="Times New Roman" w:cs="Times New Roman"/>
                      <w:b/>
                      <w:spacing w:val="5"/>
                      <w:kern w:val="0"/>
                      <w:position w:val="-1"/>
                      <w:szCs w:val="21"/>
                    </w:rPr>
                    <w:t>2</w:t>
                  </w:r>
                  <w:r>
                    <w:rPr>
                      <w:rFonts w:ascii="Times New Roman" w:hAnsi="Times New Roman" w:cs="Times New Roman"/>
                      <w:b/>
                      <w:kern w:val="0"/>
                      <w:position w:val="-1"/>
                      <w:szCs w:val="21"/>
                    </w:rPr>
                    <w:t>）</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7"/>
                      <w:kern w:val="0"/>
                      <w:position w:val="-1"/>
                      <w:szCs w:val="21"/>
                    </w:rPr>
                    <w:t>中</w:t>
                  </w:r>
                  <w:r>
                    <w:rPr>
                      <w:rFonts w:ascii="Times New Roman" w:hAnsi="Times New Roman" w:cs="Times New Roman"/>
                      <w:b/>
                      <w:spacing w:val="8"/>
                      <w:kern w:val="0"/>
                      <w:position w:val="-1"/>
                      <w:szCs w:val="21"/>
                    </w:rPr>
                    <w:t>度危</w:t>
                  </w:r>
                  <w:r>
                    <w:rPr>
                      <w:rFonts w:ascii="Times New Roman" w:hAnsi="Times New Roman" w:cs="Times New Roman"/>
                      <w:b/>
                      <w:spacing w:val="7"/>
                      <w:kern w:val="0"/>
                      <w:position w:val="-1"/>
                      <w:szCs w:val="21"/>
                    </w:rPr>
                    <w:t>害</w:t>
                  </w:r>
                  <w:r>
                    <w:rPr>
                      <w:rFonts w:ascii="Times New Roman" w:hAnsi="Times New Roman" w:cs="Times New Roman"/>
                      <w:b/>
                      <w:spacing w:val="8"/>
                      <w:kern w:val="0"/>
                      <w:position w:val="-1"/>
                      <w:szCs w:val="21"/>
                    </w:rPr>
                    <w:t>（</w:t>
                  </w:r>
                  <w:r>
                    <w:rPr>
                      <w:rFonts w:ascii="Times New Roman" w:hAnsi="Times New Roman" w:cs="Times New Roman"/>
                      <w:b/>
                      <w:spacing w:val="3"/>
                      <w:kern w:val="0"/>
                      <w:position w:val="-1"/>
                      <w:szCs w:val="21"/>
                    </w:rPr>
                    <w:t>P</w:t>
                  </w:r>
                  <w:r>
                    <w:rPr>
                      <w:rFonts w:ascii="Times New Roman" w:hAnsi="Times New Roman" w:cs="Times New Roman"/>
                      <w:b/>
                      <w:spacing w:val="5"/>
                      <w:kern w:val="0"/>
                      <w:position w:val="-1"/>
                      <w:szCs w:val="21"/>
                    </w:rPr>
                    <w:t>3</w:t>
                  </w:r>
                  <w:r>
                    <w:rPr>
                      <w:rFonts w:ascii="Times New Roman" w:hAnsi="Times New Roman" w:cs="Times New Roman"/>
                      <w:b/>
                      <w:kern w:val="0"/>
                      <w:position w:val="-1"/>
                      <w:szCs w:val="21"/>
                    </w:rPr>
                    <w:t>）</w:t>
                  </w:r>
                </w:p>
              </w:tc>
              <w:tc>
                <w:tcPr>
                  <w:tcW w:w="1489" w:type="dxa"/>
                  <w:tcBorders>
                    <w:top w:val="single" w:color="000000" w:sz="4" w:space="0"/>
                    <w:left w:val="single" w:color="000000" w:sz="4" w:space="0"/>
                    <w:bottom w:val="single" w:color="000000" w:sz="4" w:space="0"/>
                    <w:right w:val="single" w:color="000000" w:sz="8" w:space="0"/>
                  </w:tcBorders>
                  <w:vAlign w:val="center"/>
                </w:tcPr>
                <w:p>
                  <w:pPr>
                    <w:autoSpaceDE w:val="0"/>
                    <w:autoSpaceDN w:val="0"/>
                    <w:adjustRightInd w:val="0"/>
                    <w:jc w:val="center"/>
                    <w:rPr>
                      <w:rFonts w:ascii="Times New Roman" w:hAnsi="Times New Roman" w:cs="Times New Roman"/>
                      <w:b/>
                      <w:kern w:val="0"/>
                      <w:szCs w:val="21"/>
                    </w:rPr>
                  </w:pPr>
                  <w:r>
                    <w:rPr>
                      <w:rFonts w:ascii="Times New Roman" w:hAnsi="Times New Roman" w:cs="Times New Roman"/>
                      <w:b/>
                      <w:spacing w:val="7"/>
                      <w:kern w:val="0"/>
                      <w:position w:val="-1"/>
                      <w:szCs w:val="21"/>
                    </w:rPr>
                    <w:t>轻</w:t>
                  </w:r>
                  <w:r>
                    <w:rPr>
                      <w:rFonts w:ascii="Times New Roman" w:hAnsi="Times New Roman" w:cs="Times New Roman"/>
                      <w:b/>
                      <w:spacing w:val="8"/>
                      <w:kern w:val="0"/>
                      <w:position w:val="-1"/>
                      <w:szCs w:val="21"/>
                    </w:rPr>
                    <w:t>度危</w:t>
                  </w:r>
                  <w:r>
                    <w:rPr>
                      <w:rFonts w:ascii="Times New Roman" w:hAnsi="Times New Roman" w:cs="Times New Roman"/>
                      <w:b/>
                      <w:spacing w:val="7"/>
                      <w:kern w:val="0"/>
                      <w:position w:val="-1"/>
                      <w:szCs w:val="21"/>
                    </w:rPr>
                    <w:t>害</w:t>
                  </w:r>
                  <w:r>
                    <w:rPr>
                      <w:rFonts w:ascii="Times New Roman" w:hAnsi="Times New Roman" w:cs="Times New Roman"/>
                      <w:b/>
                      <w:spacing w:val="8"/>
                      <w:kern w:val="0"/>
                      <w:position w:val="-1"/>
                      <w:szCs w:val="21"/>
                    </w:rPr>
                    <w:t>（</w:t>
                  </w:r>
                  <w:r>
                    <w:rPr>
                      <w:rFonts w:ascii="Times New Roman" w:hAnsi="Times New Roman" w:cs="Times New Roman"/>
                      <w:b/>
                      <w:spacing w:val="3"/>
                      <w:kern w:val="0"/>
                      <w:position w:val="-1"/>
                      <w:szCs w:val="21"/>
                    </w:rPr>
                    <w:t>P</w:t>
                  </w:r>
                  <w:r>
                    <w:rPr>
                      <w:rFonts w:ascii="Times New Roman" w:hAnsi="Times New Roman" w:cs="Times New Roman"/>
                      <w:b/>
                      <w:spacing w:val="5"/>
                      <w:kern w:val="0"/>
                      <w:position w:val="-1"/>
                      <w:szCs w:val="21"/>
                    </w:rPr>
                    <w:t>4</w:t>
                  </w:r>
                  <w:r>
                    <w:rPr>
                      <w:rFonts w:ascii="Times New Roman" w:hAnsi="Times New Roman" w:cs="Times New Roman"/>
                      <w:b/>
                      <w:kern w:val="0"/>
                      <w:position w:val="-1"/>
                      <w:szCs w:val="21"/>
                    </w:rPr>
                    <w:t>）</w:t>
                  </w:r>
                </w:p>
              </w:tc>
            </w:tr>
            <w:tr>
              <w:tblPrEx>
                <w:tblLayout w:type="fixed"/>
                <w:tblCellMar>
                  <w:top w:w="0" w:type="dxa"/>
                  <w:left w:w="57" w:type="dxa"/>
                  <w:bottom w:w="0" w:type="dxa"/>
                  <w:right w:w="57" w:type="dxa"/>
                </w:tblCellMar>
              </w:tblPrEx>
              <w:trPr>
                <w:trHeight w:val="397" w:hRule="atLeast"/>
              </w:trPr>
              <w:tc>
                <w:tcPr>
                  <w:tcW w:w="2352" w:type="dxa"/>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spacing w:val="7"/>
                      <w:kern w:val="0"/>
                      <w:position w:val="-1"/>
                      <w:szCs w:val="21"/>
                    </w:rPr>
                    <w:t>环</w:t>
                  </w:r>
                  <w:r>
                    <w:rPr>
                      <w:rFonts w:ascii="Times New Roman" w:hAnsi="Times New Roman" w:cs="Times New Roman"/>
                      <w:spacing w:val="8"/>
                      <w:kern w:val="0"/>
                      <w:position w:val="-1"/>
                      <w:szCs w:val="21"/>
                    </w:rPr>
                    <w:t>境高</w:t>
                  </w:r>
                  <w:r>
                    <w:rPr>
                      <w:rFonts w:ascii="Times New Roman" w:hAnsi="Times New Roman" w:cs="Times New Roman"/>
                      <w:spacing w:val="7"/>
                      <w:kern w:val="0"/>
                      <w:position w:val="-1"/>
                      <w:szCs w:val="21"/>
                    </w:rPr>
                    <w:t>度</w:t>
                  </w:r>
                  <w:r>
                    <w:rPr>
                      <w:rFonts w:ascii="Times New Roman" w:hAnsi="Times New Roman" w:cs="Times New Roman"/>
                      <w:spacing w:val="8"/>
                      <w:kern w:val="0"/>
                      <w:position w:val="-1"/>
                      <w:szCs w:val="21"/>
                    </w:rPr>
                    <w:t>敏感</w:t>
                  </w:r>
                  <w:r>
                    <w:rPr>
                      <w:rFonts w:ascii="Times New Roman" w:hAnsi="Times New Roman" w:cs="Times New Roman"/>
                      <w:spacing w:val="7"/>
                      <w:kern w:val="0"/>
                      <w:position w:val="-1"/>
                      <w:szCs w:val="21"/>
                    </w:rPr>
                    <w:t>区（</w:t>
                  </w:r>
                  <w:r>
                    <w:rPr>
                      <w:rFonts w:ascii="Times New Roman" w:hAnsi="Times New Roman" w:cs="Times New Roman"/>
                      <w:spacing w:val="5"/>
                      <w:kern w:val="0"/>
                      <w:position w:val="-1"/>
                      <w:szCs w:val="21"/>
                    </w:rPr>
                    <w:t>E</w:t>
                  </w:r>
                  <w:r>
                    <w:rPr>
                      <w:rFonts w:ascii="Times New Roman" w:hAnsi="Times New Roman" w:cs="Times New Roman"/>
                      <w:spacing w:val="4"/>
                      <w:kern w:val="0"/>
                      <w:position w:val="-1"/>
                      <w:szCs w:val="21"/>
                    </w:rPr>
                    <w:t>1</w:t>
                  </w:r>
                  <w:r>
                    <w:rPr>
                      <w:rFonts w:ascii="Times New Roman" w:hAnsi="Times New Roman" w:cs="Times New Roman"/>
                      <w:kern w:val="0"/>
                      <w:position w:val="-1"/>
                      <w:szCs w:val="21"/>
                    </w:rPr>
                    <w:t>）</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szCs w:val="21"/>
                    </w:rPr>
                    <w:t>Ⅳ</w:t>
                  </w:r>
                  <w:r>
                    <w:rPr>
                      <w:rFonts w:ascii="Times New Roman" w:hAnsi="Times New Roman" w:cs="Times New Roman"/>
                      <w:kern w:val="0"/>
                      <w:szCs w:val="21"/>
                    </w:rPr>
                    <w:t>+</w:t>
                  </w:r>
                </w:p>
              </w:tc>
              <w:tc>
                <w:tcPr>
                  <w:tcW w:w="14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szCs w:val="21"/>
                    </w:rPr>
                    <w:t>Ⅳ</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szCs w:val="21"/>
                    </w:rPr>
                    <w:t>Ⅲ</w:t>
                  </w:r>
                </w:p>
              </w:tc>
              <w:tc>
                <w:tcPr>
                  <w:tcW w:w="1489" w:type="dxa"/>
                  <w:tcBorders>
                    <w:top w:val="single" w:color="000000" w:sz="4" w:space="0"/>
                    <w:left w:val="single" w:color="000000" w:sz="4" w:space="0"/>
                    <w:bottom w:val="single" w:color="000000" w:sz="4" w:space="0"/>
                    <w:right w:val="single" w:color="000000" w:sz="8"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szCs w:val="21"/>
                    </w:rPr>
                    <w:t>Ⅲ</w:t>
                  </w:r>
                </w:p>
              </w:tc>
            </w:tr>
            <w:tr>
              <w:tblPrEx>
                <w:tblLayout w:type="fixed"/>
                <w:tblCellMar>
                  <w:top w:w="0" w:type="dxa"/>
                  <w:left w:w="57" w:type="dxa"/>
                  <w:bottom w:w="0" w:type="dxa"/>
                  <w:right w:w="57" w:type="dxa"/>
                </w:tblCellMar>
              </w:tblPrEx>
              <w:trPr>
                <w:trHeight w:val="397" w:hRule="atLeast"/>
              </w:trPr>
              <w:tc>
                <w:tcPr>
                  <w:tcW w:w="2352" w:type="dxa"/>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spacing w:val="7"/>
                      <w:kern w:val="0"/>
                      <w:position w:val="-1"/>
                      <w:szCs w:val="21"/>
                    </w:rPr>
                    <w:t>环</w:t>
                  </w:r>
                  <w:r>
                    <w:rPr>
                      <w:rFonts w:ascii="Times New Roman" w:hAnsi="Times New Roman" w:cs="Times New Roman"/>
                      <w:spacing w:val="8"/>
                      <w:kern w:val="0"/>
                      <w:position w:val="-1"/>
                      <w:szCs w:val="21"/>
                    </w:rPr>
                    <w:t>境中</w:t>
                  </w:r>
                  <w:r>
                    <w:rPr>
                      <w:rFonts w:ascii="Times New Roman" w:hAnsi="Times New Roman" w:cs="Times New Roman"/>
                      <w:spacing w:val="7"/>
                      <w:kern w:val="0"/>
                      <w:position w:val="-1"/>
                      <w:szCs w:val="21"/>
                    </w:rPr>
                    <w:t>度</w:t>
                  </w:r>
                  <w:r>
                    <w:rPr>
                      <w:rFonts w:ascii="Times New Roman" w:hAnsi="Times New Roman" w:cs="Times New Roman"/>
                      <w:spacing w:val="8"/>
                      <w:kern w:val="0"/>
                      <w:position w:val="-1"/>
                      <w:szCs w:val="21"/>
                    </w:rPr>
                    <w:t>敏感</w:t>
                  </w:r>
                  <w:r>
                    <w:rPr>
                      <w:rFonts w:ascii="Times New Roman" w:hAnsi="Times New Roman" w:cs="Times New Roman"/>
                      <w:spacing w:val="7"/>
                      <w:kern w:val="0"/>
                      <w:position w:val="-1"/>
                      <w:szCs w:val="21"/>
                    </w:rPr>
                    <w:t>区（</w:t>
                  </w:r>
                  <w:r>
                    <w:rPr>
                      <w:rFonts w:ascii="Times New Roman" w:hAnsi="Times New Roman" w:cs="Times New Roman"/>
                      <w:spacing w:val="5"/>
                      <w:kern w:val="0"/>
                      <w:position w:val="-1"/>
                      <w:szCs w:val="21"/>
                    </w:rPr>
                    <w:t>E</w:t>
                  </w:r>
                  <w:r>
                    <w:rPr>
                      <w:rFonts w:ascii="Times New Roman" w:hAnsi="Times New Roman" w:cs="Times New Roman"/>
                      <w:spacing w:val="4"/>
                      <w:kern w:val="0"/>
                      <w:position w:val="-1"/>
                      <w:szCs w:val="21"/>
                    </w:rPr>
                    <w:t>2</w:t>
                  </w:r>
                  <w:r>
                    <w:rPr>
                      <w:rFonts w:ascii="Times New Roman" w:hAnsi="Times New Roman" w:cs="Times New Roman"/>
                      <w:kern w:val="0"/>
                      <w:position w:val="-1"/>
                      <w:szCs w:val="21"/>
                    </w:rPr>
                    <w:t>）</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Ⅳ</w:t>
                  </w:r>
                </w:p>
              </w:tc>
              <w:tc>
                <w:tcPr>
                  <w:tcW w:w="14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Ⅲ</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Ⅲ</w:t>
                  </w:r>
                </w:p>
              </w:tc>
              <w:tc>
                <w:tcPr>
                  <w:tcW w:w="1489" w:type="dxa"/>
                  <w:tcBorders>
                    <w:top w:val="single" w:color="000000" w:sz="4" w:space="0"/>
                    <w:left w:val="single" w:color="000000" w:sz="4" w:space="0"/>
                    <w:bottom w:val="single" w:color="000000" w:sz="4" w:space="0"/>
                    <w:right w:val="single" w:color="000000" w:sz="8"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Ⅱ</w:t>
                  </w:r>
                </w:p>
              </w:tc>
            </w:tr>
            <w:tr>
              <w:tblPrEx>
                <w:tblLayout w:type="fixed"/>
                <w:tblCellMar>
                  <w:top w:w="0" w:type="dxa"/>
                  <w:left w:w="57" w:type="dxa"/>
                  <w:bottom w:w="0" w:type="dxa"/>
                  <w:right w:w="57" w:type="dxa"/>
                </w:tblCellMar>
              </w:tblPrEx>
              <w:trPr>
                <w:trHeight w:val="397" w:hRule="atLeast"/>
              </w:trPr>
              <w:tc>
                <w:tcPr>
                  <w:tcW w:w="2352" w:type="dxa"/>
                  <w:tcBorders>
                    <w:top w:val="single" w:color="000000" w:sz="4" w:space="0"/>
                    <w:left w:val="single" w:color="000000" w:sz="8"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ascii="Times New Roman" w:hAnsi="Times New Roman" w:cs="Times New Roman"/>
                      <w:spacing w:val="7"/>
                      <w:kern w:val="0"/>
                      <w:position w:val="-1"/>
                      <w:szCs w:val="21"/>
                    </w:rPr>
                    <w:t>环</w:t>
                  </w:r>
                  <w:r>
                    <w:rPr>
                      <w:rFonts w:ascii="Times New Roman" w:hAnsi="Times New Roman" w:cs="Times New Roman"/>
                      <w:spacing w:val="8"/>
                      <w:kern w:val="0"/>
                      <w:position w:val="-1"/>
                      <w:szCs w:val="21"/>
                    </w:rPr>
                    <w:t>境低</w:t>
                  </w:r>
                  <w:r>
                    <w:rPr>
                      <w:rFonts w:ascii="Times New Roman" w:hAnsi="Times New Roman" w:cs="Times New Roman"/>
                      <w:spacing w:val="7"/>
                      <w:kern w:val="0"/>
                      <w:position w:val="-1"/>
                      <w:szCs w:val="21"/>
                    </w:rPr>
                    <w:t>度</w:t>
                  </w:r>
                  <w:r>
                    <w:rPr>
                      <w:rFonts w:ascii="Times New Roman" w:hAnsi="Times New Roman" w:cs="Times New Roman"/>
                      <w:spacing w:val="8"/>
                      <w:kern w:val="0"/>
                      <w:position w:val="-1"/>
                      <w:szCs w:val="21"/>
                    </w:rPr>
                    <w:t>敏感</w:t>
                  </w:r>
                  <w:r>
                    <w:rPr>
                      <w:rFonts w:ascii="Times New Roman" w:hAnsi="Times New Roman" w:cs="Times New Roman"/>
                      <w:spacing w:val="7"/>
                      <w:kern w:val="0"/>
                      <w:position w:val="-1"/>
                      <w:szCs w:val="21"/>
                    </w:rPr>
                    <w:t>区（</w:t>
                  </w:r>
                  <w:r>
                    <w:rPr>
                      <w:rFonts w:ascii="Times New Roman" w:hAnsi="Times New Roman" w:cs="Times New Roman"/>
                      <w:spacing w:val="5"/>
                      <w:kern w:val="0"/>
                      <w:position w:val="-1"/>
                      <w:szCs w:val="21"/>
                    </w:rPr>
                    <w:t>E</w:t>
                  </w:r>
                  <w:r>
                    <w:rPr>
                      <w:rFonts w:ascii="Times New Roman" w:hAnsi="Times New Roman" w:cs="Times New Roman"/>
                      <w:spacing w:val="4"/>
                      <w:kern w:val="0"/>
                      <w:position w:val="-1"/>
                      <w:szCs w:val="21"/>
                    </w:rPr>
                    <w:t>3</w:t>
                  </w:r>
                  <w:r>
                    <w:rPr>
                      <w:rFonts w:ascii="Times New Roman" w:hAnsi="Times New Roman" w:cs="Times New Roman"/>
                      <w:kern w:val="0"/>
                      <w:position w:val="-1"/>
                      <w:szCs w:val="21"/>
                    </w:rPr>
                    <w:t>）</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Ⅲ</w:t>
                  </w:r>
                </w:p>
              </w:tc>
              <w:tc>
                <w:tcPr>
                  <w:tcW w:w="148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Ⅲ</w:t>
                  </w:r>
                </w:p>
              </w:tc>
              <w:tc>
                <w:tcPr>
                  <w:tcW w:w="148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Ⅱ</w:t>
                  </w:r>
                </w:p>
              </w:tc>
              <w:tc>
                <w:tcPr>
                  <w:tcW w:w="1489" w:type="dxa"/>
                  <w:tcBorders>
                    <w:top w:val="single" w:color="000000" w:sz="4" w:space="0"/>
                    <w:left w:val="single" w:color="000000" w:sz="4" w:space="0"/>
                    <w:bottom w:val="single" w:color="000000" w:sz="4" w:space="0"/>
                    <w:right w:val="single" w:color="000000" w:sz="8" w:space="0"/>
                  </w:tcBorders>
                  <w:vAlign w:val="center"/>
                </w:tcPr>
                <w:p>
                  <w:pPr>
                    <w:autoSpaceDE w:val="0"/>
                    <w:autoSpaceDN w:val="0"/>
                    <w:adjustRightInd w:val="0"/>
                    <w:jc w:val="center"/>
                    <w:rPr>
                      <w:rFonts w:ascii="Times New Roman" w:hAnsi="Times New Roman" w:cs="Times New Roman"/>
                      <w:kern w:val="0"/>
                      <w:szCs w:val="21"/>
                    </w:rPr>
                  </w:pPr>
                  <w:r>
                    <w:rPr>
                      <w:rFonts w:hint="eastAsia" w:ascii="宋体" w:hAnsi="宋体" w:eastAsia="宋体" w:cs="宋体"/>
                      <w:kern w:val="0"/>
                      <w:position w:val="-1"/>
                      <w:szCs w:val="21"/>
                    </w:rPr>
                    <w:t>Ⅰ</w:t>
                  </w:r>
                </w:p>
              </w:tc>
            </w:tr>
            <w:tr>
              <w:tblPrEx>
                <w:tblLayout w:type="fixed"/>
                <w:tblCellMar>
                  <w:top w:w="0" w:type="dxa"/>
                  <w:left w:w="57" w:type="dxa"/>
                  <w:bottom w:w="0" w:type="dxa"/>
                  <w:right w:w="57" w:type="dxa"/>
                </w:tblCellMar>
              </w:tblPrEx>
              <w:trPr>
                <w:trHeight w:val="397" w:hRule="atLeast"/>
              </w:trPr>
              <w:tc>
                <w:tcPr>
                  <w:tcW w:w="8306" w:type="dxa"/>
                  <w:gridSpan w:val="5"/>
                  <w:tcBorders>
                    <w:top w:val="single" w:color="000000" w:sz="4" w:space="0"/>
                    <w:left w:val="single" w:color="000000" w:sz="8" w:space="0"/>
                    <w:bottom w:val="single" w:color="000000" w:sz="8" w:space="0"/>
                    <w:right w:val="single" w:color="000000" w:sz="8" w:space="0"/>
                  </w:tcBorders>
                  <w:vAlign w:val="center"/>
                </w:tcPr>
                <w:p>
                  <w:pPr>
                    <w:autoSpaceDE w:val="0"/>
                    <w:autoSpaceDN w:val="0"/>
                    <w:adjustRightInd w:val="0"/>
                    <w:rPr>
                      <w:rFonts w:ascii="Times New Roman" w:hAnsi="Times New Roman" w:cs="Times New Roman"/>
                      <w:kern w:val="0"/>
                      <w:szCs w:val="21"/>
                    </w:rPr>
                  </w:pPr>
                  <w:r>
                    <w:rPr>
                      <w:rFonts w:ascii="Times New Roman" w:hAnsi="Times New Roman" w:cs="Times New Roman"/>
                      <w:spacing w:val="7"/>
                      <w:kern w:val="0"/>
                      <w:position w:val="-1"/>
                      <w:szCs w:val="21"/>
                    </w:rPr>
                    <w:t>注：</w:t>
                  </w:r>
                  <w:r>
                    <w:rPr>
                      <w:rFonts w:hint="eastAsia" w:ascii="宋体" w:hAnsi="宋体" w:eastAsia="宋体" w:cs="宋体"/>
                      <w:spacing w:val="7"/>
                      <w:kern w:val="0"/>
                      <w:position w:val="-1"/>
                      <w:szCs w:val="21"/>
                    </w:rPr>
                    <w:t>Ⅳ</w:t>
                  </w:r>
                  <w:r>
                    <w:rPr>
                      <w:rFonts w:ascii="Times New Roman" w:hAnsi="Times New Roman" w:cs="Times New Roman"/>
                      <w:spacing w:val="7"/>
                      <w:kern w:val="0"/>
                      <w:position w:val="-1"/>
                      <w:szCs w:val="21"/>
                    </w:rPr>
                    <w:t>+为极高环境风险。</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本环评通过分析建设项目生产、使用、储存过程中可能涉及的有毒有害、易燃易爆物质，按照《建设项目环境风险评价技术导则》（HJ 169-2018）“附录B 重点关注的危险物质及临界量”确定危险物质的临界量。定量分析危险物质数量与临界量的比值（Q）和所属行业及生产工艺特点（M），按导则“附录C 危险物质及工艺系统危险性（P）的分级”对危险物质及工艺系统危险性（P）等级进行判断。</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根据《建设项目环境风险评价技术导则》（HJ 169-2018）“附录C 危险物质与工艺系统危险性（P）的分级”，风险物质数量与临界量比值Q的计算公式如下：</w:t>
            </w:r>
          </w:p>
          <w:p>
            <w:pPr>
              <w:pStyle w:val="4"/>
              <w:ind w:firstLine="0" w:firstLineChars="0"/>
              <w:jc w:val="center"/>
            </w:pPr>
            <w:r>
              <w:rPr>
                <w:position w:val="-30"/>
              </w:rPr>
              <w:object>
                <v:shape id="_x0000_i1049" o:spt="75" type="#_x0000_t75" style="height:33.75pt;width:111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5" r:id="rId52">
                  <o:LockedField>false</o:LockedField>
                </o:OLEObject>
              </w:object>
            </w:r>
          </w:p>
          <w:p>
            <w:pPr>
              <w:pStyle w:val="4"/>
              <w:ind w:firstLine="48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2"/>
              </w:rPr>
              <w:object>
                <v:shape id="_x0000_i1050" o:spt="75" type="#_x0000_t75" style="height:18pt;width:12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46" r:id="rId54">
                  <o:LockedField>false</o:LockedField>
                </o:OLEObject>
              </w:object>
            </w:r>
            <w:r>
              <w:rPr>
                <w:rFonts w:ascii="Times New Roman" w:hAnsi="Times New Roman" w:cs="Times New Roman"/>
              </w:rPr>
              <w:t>，</w:t>
            </w:r>
            <w:r>
              <w:rPr>
                <w:rFonts w:ascii="Times New Roman" w:hAnsi="Times New Roman" w:cs="Times New Roman"/>
                <w:position w:val="-12"/>
              </w:rPr>
              <w:object>
                <v:shape id="_x0000_i1051" o:spt="75" type="#_x0000_t75" style="height:18pt;width:13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47" r:id="rId56">
                  <o:LockedField>false</o:LockedField>
                </o:OLEObject>
              </w:object>
            </w:r>
            <w:r>
              <w:rPr>
                <w:rFonts w:ascii="Times New Roman" w:hAnsi="Times New Roman" w:cs="Times New Roman"/>
              </w:rPr>
              <w:t>，…，</w:t>
            </w:r>
            <w:r>
              <w:rPr>
                <w:rFonts w:ascii="Times New Roman" w:hAnsi="Times New Roman" w:cs="Times New Roman"/>
                <w:position w:val="-12"/>
              </w:rPr>
              <w:object>
                <v:shape id="_x0000_i1052" o:spt="75" type="#_x0000_t75" style="height:18pt;width:13.95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48" r:id="rId58">
                  <o:LockedField>false</o:LockedField>
                </o:OLEObject>
              </w:object>
            </w:r>
            <w:r>
              <w:rPr>
                <w:rFonts w:ascii="Times New Roman" w:hAnsi="Times New Roman" w:cs="Times New Roman"/>
              </w:rPr>
              <w:t>——每种风险物质的最大存在总量，t；</w:t>
            </w:r>
          </w:p>
          <w:p>
            <w:pPr>
              <w:pStyle w:val="4"/>
              <w:ind w:firstLine="480"/>
              <w:rPr>
                <w:rFonts w:ascii="Times New Roman" w:hAnsi="Times New Roman" w:cs="Times New Roman"/>
              </w:rPr>
            </w:pPr>
            <w:r>
              <w:rPr>
                <w:rFonts w:ascii="Times New Roman" w:hAnsi="Times New Roman" w:cs="Times New Roman"/>
                <w:position w:val="-12"/>
              </w:rPr>
              <w:object>
                <v:shape id="_x0000_i1053" o:spt="75" type="#_x0000_t75" style="height:18pt;width:13.95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49" r:id="rId60">
                  <o:LockedField>false</o:LockedField>
                </o:OLEObject>
              </w:object>
            </w:r>
            <w:r>
              <w:rPr>
                <w:rFonts w:ascii="Times New Roman" w:hAnsi="Times New Roman" w:cs="Times New Roman"/>
              </w:rPr>
              <w:t>，</w:t>
            </w:r>
            <w:r>
              <w:rPr>
                <w:rFonts w:ascii="Times New Roman" w:hAnsi="Times New Roman" w:cs="Times New Roman"/>
                <w:position w:val="-12"/>
              </w:rPr>
              <w:object>
                <v:shape id="_x0000_i1054" o:spt="75" type="#_x0000_t75" style="height:18pt;width:15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0" r:id="rId62">
                  <o:LockedField>false</o:LockedField>
                </o:OLEObject>
              </w:object>
            </w:r>
            <w:r>
              <w:rPr>
                <w:rFonts w:ascii="Times New Roman" w:hAnsi="Times New Roman" w:cs="Times New Roman"/>
              </w:rPr>
              <w:t>，…，</w:t>
            </w:r>
            <w:r>
              <w:rPr>
                <w:rFonts w:ascii="Times New Roman" w:hAnsi="Times New Roman" w:cs="Times New Roman"/>
                <w:position w:val="-12"/>
              </w:rPr>
              <w:object>
                <v:shape id="_x0000_i1055" o:spt="75" type="#_x0000_t75" style="height:18pt;width:16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1" r:id="rId64">
                  <o:LockedField>false</o:LockedField>
                </o:OLEObject>
              </w:object>
            </w:r>
            <w:r>
              <w:rPr>
                <w:rFonts w:ascii="Times New Roman" w:hAnsi="Times New Roman" w:cs="Times New Roman"/>
              </w:rPr>
              <w:t>——每种风险物质的临界量，t；</w:t>
            </w:r>
          </w:p>
          <w:p>
            <w:pPr>
              <w:pStyle w:val="4"/>
              <w:ind w:firstLine="480"/>
              <w:rPr>
                <w:rFonts w:ascii="Times New Roman" w:hAnsi="Times New Roman" w:cs="Times New Roman"/>
              </w:rPr>
            </w:pPr>
            <w:r>
              <w:rPr>
                <w:rFonts w:ascii="Times New Roman" w:hAnsi="Times New Roman" w:cs="Times New Roman"/>
              </w:rPr>
              <w:t>当Q＜1时，该项目的环境风险潜势为</w:t>
            </w:r>
            <w:r>
              <w:rPr>
                <w:rFonts w:hint="eastAsia" w:ascii="Times New Roman" w:hAnsi="Times New Roman" w:cs="Times New Roman"/>
              </w:rPr>
              <w:t>Ⅰ</w:t>
            </w:r>
            <w:r>
              <w:rPr>
                <w:rFonts w:ascii="Times New Roman" w:hAnsi="Times New Roman" w:cs="Times New Roman"/>
              </w:rPr>
              <w:t>。</w:t>
            </w:r>
          </w:p>
          <w:p>
            <w:pPr>
              <w:pStyle w:val="4"/>
              <w:ind w:firstLine="480"/>
              <w:rPr>
                <w:rFonts w:ascii="Times New Roman" w:hAnsi="Times New Roman" w:cs="Times New Roman"/>
              </w:rPr>
            </w:pPr>
            <w:r>
              <w:rPr>
                <w:rFonts w:ascii="Times New Roman" w:hAnsi="Times New Roman" w:cs="Times New Roman"/>
              </w:rPr>
              <w:t>当Q≥1时，将Q值划分为：1≤Q＜10、10≤Q＜100、Q≥100。</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查阅《建设项目环境风险评价技术导则》（HJ 169-2018）“附录B 重点关注的危险物质及临界量”，和《危险化学品重大危险源辨识》（GB 18218-2018），</w:t>
            </w:r>
            <w:r>
              <w:rPr>
                <w:rFonts w:ascii="Times New Roman" w:hAnsi="Times New Roman" w:cs="Times New Roman"/>
                <w:sz w:val="24"/>
              </w:rPr>
              <w:t>本项目</w:t>
            </w:r>
            <w:r>
              <w:rPr>
                <w:rFonts w:hint="eastAsia" w:ascii="Times New Roman" w:hAnsi="Times New Roman" w:cs="Times New Roman"/>
                <w:sz w:val="24"/>
              </w:rPr>
              <w:t>废机油属于突发环境事件风险物质，临界量为2500t。</w:t>
            </w:r>
          </w:p>
          <w:p>
            <w:pPr>
              <w:pStyle w:val="71"/>
              <w:widowControl w:val="0"/>
              <w:spacing w:before="156"/>
              <w:rPr>
                <w:bCs/>
              </w:rPr>
            </w:pPr>
            <w:r>
              <w:rPr>
                <w:rFonts w:hint="eastAsia"/>
                <w:bCs/>
              </w:rPr>
              <w:t>表7-</w:t>
            </w:r>
            <w:r>
              <w:rPr>
                <w:b w:val="0"/>
                <w:bCs/>
              </w:rPr>
              <w:fldChar w:fldCharType="begin"/>
            </w:r>
            <w:r>
              <w:rPr>
                <w:bCs/>
              </w:rPr>
              <w:instrText xml:space="preserve"> </w:instrText>
            </w:r>
            <w:r>
              <w:rPr>
                <w:rFonts w:hint="eastAsia"/>
                <w:bCs/>
              </w:rPr>
              <w:instrText xml:space="preserve">SEQ 表7- \* ARABIC</w:instrText>
            </w:r>
            <w:r>
              <w:rPr>
                <w:bCs/>
              </w:rPr>
              <w:instrText xml:space="preserve"> </w:instrText>
            </w:r>
            <w:r>
              <w:rPr>
                <w:b w:val="0"/>
                <w:bCs/>
              </w:rPr>
              <w:fldChar w:fldCharType="separate"/>
            </w:r>
            <w:r>
              <w:rPr>
                <w:bCs/>
              </w:rPr>
              <w:t>20</w:t>
            </w:r>
            <w:r>
              <w:rPr>
                <w:b w:val="0"/>
                <w:bCs/>
              </w:rPr>
              <w:fldChar w:fldCharType="end"/>
            </w:r>
            <w:r>
              <w:rPr>
                <w:rFonts w:hint="eastAsia"/>
                <w:bCs/>
              </w:rPr>
              <w:t xml:space="preserve"> </w:t>
            </w:r>
            <w:r>
              <w:rPr>
                <w:bCs/>
              </w:rPr>
              <w:t xml:space="preserve">  </w:t>
            </w:r>
            <w:r>
              <w:rPr>
                <w:rFonts w:hint="eastAsia"/>
                <w:bCs/>
              </w:rPr>
              <w:t>建设项目Q值确定表</w:t>
            </w:r>
          </w:p>
          <w:tbl>
            <w:tblPr>
              <w:tblStyle w:val="25"/>
              <w:tblW w:w="8813" w:type="dxa"/>
              <w:tblInd w:w="113" w:type="dxa"/>
              <w:tblLayout w:type="fixed"/>
              <w:tblCellMar>
                <w:top w:w="0" w:type="dxa"/>
                <w:left w:w="108" w:type="dxa"/>
                <w:bottom w:w="0" w:type="dxa"/>
                <w:right w:w="108" w:type="dxa"/>
              </w:tblCellMar>
            </w:tblPr>
            <w:tblGrid>
              <w:gridCol w:w="708"/>
              <w:gridCol w:w="1555"/>
              <w:gridCol w:w="1134"/>
              <w:gridCol w:w="1843"/>
              <w:gridCol w:w="1559"/>
              <w:gridCol w:w="2014"/>
            </w:tblGrid>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序号</w:t>
                  </w:r>
                </w:p>
              </w:tc>
              <w:tc>
                <w:tcPr>
                  <w:tcW w:w="1555"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bCs/>
                      <w:szCs w:val="21"/>
                    </w:rPr>
                  </w:pPr>
                  <w:r>
                    <w:rPr>
                      <w:rFonts w:hint="eastAsia" w:ascii="Times New Roman" w:hAnsi="Times New Roman" w:cs="Times New Roman"/>
                      <w:b/>
                      <w:bCs/>
                      <w:szCs w:val="21"/>
                    </w:rPr>
                    <w:t>风险</w:t>
                  </w:r>
                  <w:r>
                    <w:rPr>
                      <w:rFonts w:ascii="Times New Roman" w:hAnsi="Times New Roman" w:cs="Times New Roman"/>
                      <w:b/>
                      <w:bCs/>
                      <w:szCs w:val="21"/>
                    </w:rPr>
                    <w:t>物质名称</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CAS号</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最大存在总量q</w:t>
                  </w:r>
                  <w:r>
                    <w:rPr>
                      <w:rFonts w:ascii="Times New Roman" w:hAnsi="Times New Roman" w:cs="Times New Roman"/>
                      <w:b/>
                      <w:bCs/>
                      <w:szCs w:val="21"/>
                      <w:vertAlign w:val="subscript"/>
                    </w:rPr>
                    <w:t>n</w:t>
                  </w:r>
                  <w:r>
                    <w:rPr>
                      <w:rFonts w:ascii="Times New Roman" w:hAnsi="Times New Roman" w:cs="Times New Roman"/>
                      <w:b/>
                      <w:bCs/>
                      <w:szCs w:val="21"/>
                    </w:rPr>
                    <w:t>/t</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临界量Q</w:t>
                  </w:r>
                  <w:r>
                    <w:rPr>
                      <w:rFonts w:ascii="Times New Roman" w:hAnsi="Times New Roman" w:cs="Times New Roman"/>
                      <w:b/>
                      <w:bCs/>
                      <w:szCs w:val="21"/>
                      <w:vertAlign w:val="subscript"/>
                    </w:rPr>
                    <w:t>n</w:t>
                  </w:r>
                  <w:r>
                    <w:rPr>
                      <w:rFonts w:ascii="Times New Roman" w:hAnsi="Times New Roman" w:cs="Times New Roman"/>
                      <w:b/>
                      <w:bCs/>
                      <w:szCs w:val="21"/>
                    </w:rPr>
                    <w:t>/t</w:t>
                  </w:r>
                </w:p>
              </w:tc>
              <w:tc>
                <w:tcPr>
                  <w:tcW w:w="201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b/>
                      <w:bCs/>
                      <w:szCs w:val="21"/>
                    </w:rPr>
                  </w:pPr>
                  <w:r>
                    <w:rPr>
                      <w:rFonts w:ascii="Times New Roman" w:hAnsi="Times New Roman" w:cs="Times New Roman"/>
                      <w:b/>
                      <w:bCs/>
                      <w:szCs w:val="21"/>
                    </w:rPr>
                    <w:t>该种危险物质Q值</w:t>
                  </w:r>
                </w:p>
              </w:tc>
            </w:tr>
            <w:tr>
              <w:tblPrEx>
                <w:tblLayout w:type="fixed"/>
                <w:tblCellMar>
                  <w:top w:w="0" w:type="dxa"/>
                  <w:left w:w="108" w:type="dxa"/>
                  <w:bottom w:w="0" w:type="dxa"/>
                  <w:right w:w="108" w:type="dxa"/>
                </w:tblCellMar>
              </w:tblPrEx>
              <w:trPr>
                <w:trHeight w:val="425" w:hRule="atLeast"/>
              </w:trPr>
              <w:tc>
                <w:tcPr>
                  <w:tcW w:w="708" w:type="dxa"/>
                  <w:tcBorders>
                    <w:top w:val="single" w:color="auto" w:sz="4" w:space="0"/>
                    <w:left w:val="single" w:color="auto" w:sz="4" w:space="0"/>
                    <w:bottom w:val="single" w:color="auto" w:sz="4" w:space="0"/>
                    <w:right w:val="single" w:color="auto" w:sz="4" w:space="0"/>
                  </w:tcBorders>
                  <w:vAlign w:val="center"/>
                </w:tcPr>
                <w:p>
                  <w:pPr>
                    <w:pStyle w:val="57"/>
                    <w:numPr>
                      <w:ilvl w:val="0"/>
                      <w:numId w:val="16"/>
                    </w:numPr>
                    <w:ind w:left="0" w:firstLine="0" w:firstLineChars="0"/>
                    <w:jc w:val="center"/>
                    <w:rPr>
                      <w:rFonts w:ascii="Times New Roman" w:hAnsi="Times New Roman"/>
                    </w:rPr>
                  </w:pPr>
                </w:p>
              </w:tc>
              <w:tc>
                <w:tcPr>
                  <w:tcW w:w="1555" w:type="dxa"/>
                  <w:tcBorders>
                    <w:top w:val="single" w:color="auto" w:sz="4" w:space="0"/>
                    <w:left w:val="nil"/>
                    <w:bottom w:val="single" w:color="auto" w:sz="4" w:space="0"/>
                    <w:right w:val="single" w:color="auto" w:sz="4" w:space="0"/>
                  </w:tcBorders>
                  <w:vAlign w:val="center"/>
                </w:tcPr>
                <w:p>
                  <w:pPr>
                    <w:pStyle w:val="74"/>
                  </w:pPr>
                  <w:r>
                    <w:rPr>
                      <w:rFonts w:hint="eastAsia"/>
                    </w:rPr>
                    <w:t>油类物质（矿物油类，如石油、汽油、</w:t>
                  </w:r>
                </w:p>
                <w:p>
                  <w:pPr>
                    <w:pStyle w:val="74"/>
                  </w:pPr>
                  <w:r>
                    <w:rPr>
                      <w:rFonts w:hint="eastAsia"/>
                    </w:rPr>
                    <w:t>柴油等；生物柴油等）</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1843"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0.05</w:t>
                  </w:r>
                </w:p>
              </w:tc>
              <w:tc>
                <w:tcPr>
                  <w:tcW w:w="1559"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2500</w:t>
                  </w:r>
                </w:p>
              </w:tc>
              <w:tc>
                <w:tcPr>
                  <w:tcW w:w="201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0.00002</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综上，本项目风险物质Q＜1，环境风险潜势为Ⅰ。</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环境风险评价等级划分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环境风险评价工作等级划分为一级、二级、三级。根据拟建项目涉及的物质及工艺系统危险性和所在地的环境敏感性确定环境风险潜势，按照</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_Ref6600308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表7-</w:t>
            </w:r>
            <w:r>
              <w:rPr>
                <w:rFonts w:ascii="Times New Roman" w:hAnsi="Times New Roman" w:cs="Times New Roman"/>
                <w:sz w:val="24"/>
              </w:rPr>
              <w:t>21</w:t>
            </w:r>
            <w:r>
              <w:rPr>
                <w:rFonts w:ascii="Times New Roman" w:hAnsi="Times New Roman" w:cs="Times New Roman"/>
                <w:sz w:val="24"/>
              </w:rPr>
              <w:fldChar w:fldCharType="end"/>
            </w:r>
            <w:r>
              <w:rPr>
                <w:rFonts w:hint="eastAsia" w:ascii="Times New Roman" w:hAnsi="Times New Roman" w:cs="Times New Roman"/>
                <w:sz w:val="24"/>
              </w:rPr>
              <w:t>确定评价工作等级。风险潜势为Ⅳ及以上，进行一级评价；风险潜势为Ⅲ，进行二级评价；风险潜势为Ⅱ，进行三级评价；风险潜势为Ⅰ，可开展简单分析。</w:t>
            </w:r>
          </w:p>
          <w:p>
            <w:pPr>
              <w:pStyle w:val="72"/>
              <w:spacing w:before="156"/>
              <w:ind w:firstLine="420"/>
            </w:pPr>
            <w:bookmarkStart w:id="73" w:name="_Ref6600308"/>
            <w:bookmarkStart w:id="74" w:name="_Toc535436676"/>
            <w:bookmarkStart w:id="75" w:name="_Toc2778126"/>
            <w:r>
              <w:rPr>
                <w:rFonts w:hint="eastAsia"/>
                <w:bCs/>
              </w:rPr>
              <w:t>表7-</w:t>
            </w:r>
            <w:r>
              <w:rPr>
                <w:b w:val="0"/>
                <w:bCs/>
              </w:rPr>
              <w:fldChar w:fldCharType="begin"/>
            </w:r>
            <w:r>
              <w:rPr>
                <w:bCs/>
              </w:rPr>
              <w:instrText xml:space="preserve"> </w:instrText>
            </w:r>
            <w:r>
              <w:rPr>
                <w:rFonts w:hint="eastAsia"/>
                <w:bCs/>
              </w:rPr>
              <w:instrText xml:space="preserve">SEQ 表7- \* ARABIC</w:instrText>
            </w:r>
            <w:r>
              <w:rPr>
                <w:bCs/>
              </w:rPr>
              <w:instrText xml:space="preserve"> </w:instrText>
            </w:r>
            <w:r>
              <w:rPr>
                <w:b w:val="0"/>
                <w:bCs/>
              </w:rPr>
              <w:fldChar w:fldCharType="separate"/>
            </w:r>
            <w:r>
              <w:rPr>
                <w:bCs/>
              </w:rPr>
              <w:t>21</w:t>
            </w:r>
            <w:r>
              <w:rPr>
                <w:b w:val="0"/>
                <w:bCs/>
              </w:rPr>
              <w:fldChar w:fldCharType="end"/>
            </w:r>
            <w:bookmarkEnd w:id="73"/>
            <w:r>
              <w:rPr>
                <w:rFonts w:hint="eastAsia"/>
                <w:bCs/>
              </w:rPr>
              <w:t xml:space="preserve"> </w:t>
            </w:r>
            <w:r>
              <w:rPr>
                <w:bCs/>
              </w:rPr>
              <w:t xml:space="preserve">  </w:t>
            </w:r>
            <w:r>
              <w:rPr>
                <w:rFonts w:hint="eastAsia"/>
              </w:rPr>
              <w:t>评价工作等级划分</w:t>
            </w:r>
            <w:bookmarkEnd w:id="74"/>
            <w:bookmarkEnd w:id="75"/>
          </w:p>
          <w:tbl>
            <w:tblPr>
              <w:tblStyle w:val="25"/>
              <w:tblW w:w="8947" w:type="dxa"/>
              <w:tblInd w:w="115" w:type="dxa"/>
              <w:tblLayout w:type="fixed"/>
              <w:tblCellMar>
                <w:top w:w="0" w:type="dxa"/>
                <w:left w:w="57" w:type="dxa"/>
                <w:bottom w:w="0" w:type="dxa"/>
                <w:right w:w="57" w:type="dxa"/>
              </w:tblCellMar>
            </w:tblPr>
            <w:tblGrid>
              <w:gridCol w:w="2093"/>
              <w:gridCol w:w="1553"/>
              <w:gridCol w:w="1553"/>
              <w:gridCol w:w="1553"/>
              <w:gridCol w:w="2195"/>
            </w:tblGrid>
            <w:tr>
              <w:tblPrEx>
                <w:tblLayout w:type="fixed"/>
                <w:tblCellMar>
                  <w:top w:w="0" w:type="dxa"/>
                  <w:left w:w="57" w:type="dxa"/>
                  <w:bottom w:w="0" w:type="dxa"/>
                  <w:right w:w="57" w:type="dxa"/>
                </w:tblCellMar>
              </w:tblPrEx>
              <w:trPr>
                <w:trHeight w:val="397" w:hRule="atLeast"/>
              </w:trPr>
              <w:tc>
                <w:tcPr>
                  <w:tcW w:w="2093" w:type="dxa"/>
                  <w:tcBorders>
                    <w:top w:val="single" w:color="000000" w:sz="4" w:space="0"/>
                    <w:left w:val="single" w:color="000000" w:sz="8" w:space="0"/>
                    <w:bottom w:val="single" w:color="000000" w:sz="4" w:space="0"/>
                    <w:right w:val="single" w:color="000000" w:sz="4" w:space="0"/>
                  </w:tcBorders>
                  <w:vAlign w:val="center"/>
                </w:tcPr>
                <w:p>
                  <w:pPr>
                    <w:pStyle w:val="73"/>
                  </w:pPr>
                  <w:r>
                    <w:rPr>
                      <w:rFonts w:hint="eastAsia"/>
                    </w:rPr>
                    <w:t>环境风险潜势</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73"/>
                  </w:pPr>
                  <w:r>
                    <w:rPr>
                      <w:rFonts w:hint="eastAsia"/>
                    </w:rPr>
                    <w:t>Ⅳ、Ⅳ</w:t>
                  </w:r>
                  <w:r>
                    <w:rPr>
                      <w:rFonts w:hint="eastAsia"/>
                      <w:vertAlign w:val="superscript"/>
                    </w:rPr>
                    <w:t>+</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73"/>
                  </w:pPr>
                  <w:r>
                    <w:rPr>
                      <w:rFonts w:hint="eastAsia"/>
                    </w:rPr>
                    <w:t>Ⅲ</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73"/>
                  </w:pPr>
                  <w:r>
                    <w:rPr>
                      <w:rFonts w:hint="eastAsia"/>
                    </w:rPr>
                    <w:t>Ⅱ</w:t>
                  </w:r>
                </w:p>
              </w:tc>
              <w:tc>
                <w:tcPr>
                  <w:tcW w:w="2195" w:type="dxa"/>
                  <w:tcBorders>
                    <w:top w:val="single" w:color="000000" w:sz="4" w:space="0"/>
                    <w:left w:val="single" w:color="000000" w:sz="4" w:space="0"/>
                    <w:bottom w:val="single" w:color="000000" w:sz="4" w:space="0"/>
                    <w:right w:val="single" w:color="000000" w:sz="8" w:space="0"/>
                  </w:tcBorders>
                  <w:vAlign w:val="center"/>
                </w:tcPr>
                <w:p>
                  <w:pPr>
                    <w:pStyle w:val="73"/>
                  </w:pPr>
                  <w:r>
                    <w:rPr>
                      <w:rFonts w:hint="eastAsia"/>
                    </w:rPr>
                    <w:t>Ⅰ</w:t>
                  </w:r>
                </w:p>
              </w:tc>
            </w:tr>
            <w:tr>
              <w:tblPrEx>
                <w:tblLayout w:type="fixed"/>
                <w:tblCellMar>
                  <w:top w:w="0" w:type="dxa"/>
                  <w:left w:w="57" w:type="dxa"/>
                  <w:bottom w:w="0" w:type="dxa"/>
                  <w:right w:w="57" w:type="dxa"/>
                </w:tblCellMar>
              </w:tblPrEx>
              <w:trPr>
                <w:trHeight w:val="397" w:hRule="atLeast"/>
              </w:trPr>
              <w:tc>
                <w:tcPr>
                  <w:tcW w:w="2093" w:type="dxa"/>
                  <w:tcBorders>
                    <w:top w:val="single" w:color="000000" w:sz="4" w:space="0"/>
                    <w:left w:val="single" w:color="000000" w:sz="8" w:space="0"/>
                    <w:bottom w:val="single" w:color="000000" w:sz="4" w:space="0"/>
                    <w:right w:val="single" w:color="000000" w:sz="4" w:space="0"/>
                  </w:tcBorders>
                  <w:vAlign w:val="center"/>
                </w:tcPr>
                <w:p>
                  <w:pPr>
                    <w:pStyle w:val="54"/>
                  </w:pPr>
                  <w:r>
                    <w:rPr>
                      <w:rFonts w:hint="eastAsia"/>
                    </w:rPr>
                    <w:t>评价工作等级</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54"/>
                  </w:pPr>
                  <w:r>
                    <w:rPr>
                      <w:rFonts w:hint="eastAsia"/>
                    </w:rPr>
                    <w:t>一</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54"/>
                  </w:pPr>
                  <w:r>
                    <w:rPr>
                      <w:rFonts w:hint="eastAsia"/>
                    </w:rPr>
                    <w:t>二</w:t>
                  </w:r>
                </w:p>
              </w:tc>
              <w:tc>
                <w:tcPr>
                  <w:tcW w:w="1553" w:type="dxa"/>
                  <w:tcBorders>
                    <w:top w:val="single" w:color="000000" w:sz="4" w:space="0"/>
                    <w:left w:val="single" w:color="000000" w:sz="4" w:space="0"/>
                    <w:bottom w:val="single" w:color="000000" w:sz="4" w:space="0"/>
                    <w:right w:val="single" w:color="000000" w:sz="4" w:space="0"/>
                  </w:tcBorders>
                  <w:vAlign w:val="center"/>
                </w:tcPr>
                <w:p>
                  <w:pPr>
                    <w:pStyle w:val="54"/>
                  </w:pPr>
                  <w:r>
                    <w:rPr>
                      <w:rFonts w:hint="eastAsia"/>
                    </w:rPr>
                    <w:t>三</w:t>
                  </w:r>
                </w:p>
              </w:tc>
              <w:tc>
                <w:tcPr>
                  <w:tcW w:w="2195" w:type="dxa"/>
                  <w:tcBorders>
                    <w:top w:val="single" w:color="000000" w:sz="4" w:space="0"/>
                    <w:left w:val="single" w:color="000000" w:sz="4" w:space="0"/>
                    <w:bottom w:val="single" w:color="000000" w:sz="4" w:space="0"/>
                    <w:right w:val="single" w:color="000000" w:sz="8" w:space="0"/>
                  </w:tcBorders>
                  <w:vAlign w:val="center"/>
                </w:tcPr>
                <w:p>
                  <w:pPr>
                    <w:pStyle w:val="54"/>
                  </w:pPr>
                  <w:r>
                    <w:rPr>
                      <w:rFonts w:hint="eastAsia"/>
                    </w:rPr>
                    <w:t>简单分析</w:t>
                  </w:r>
                  <w:r>
                    <w:rPr>
                      <w:rFonts w:hint="eastAsia"/>
                      <w:vertAlign w:val="superscript"/>
                    </w:rPr>
                    <w:t>a</w:t>
                  </w:r>
                </w:p>
              </w:tc>
            </w:tr>
            <w:tr>
              <w:tblPrEx>
                <w:tblLayout w:type="fixed"/>
                <w:tblCellMar>
                  <w:top w:w="0" w:type="dxa"/>
                  <w:left w:w="57" w:type="dxa"/>
                  <w:bottom w:w="0" w:type="dxa"/>
                  <w:right w:w="57" w:type="dxa"/>
                </w:tblCellMar>
              </w:tblPrEx>
              <w:trPr>
                <w:trHeight w:val="397" w:hRule="atLeast"/>
              </w:trPr>
              <w:tc>
                <w:tcPr>
                  <w:tcW w:w="8947" w:type="dxa"/>
                  <w:gridSpan w:val="5"/>
                  <w:tcBorders>
                    <w:top w:val="single" w:color="000000" w:sz="4" w:space="0"/>
                    <w:left w:val="single" w:color="000000" w:sz="8" w:space="0"/>
                    <w:bottom w:val="single" w:color="000000" w:sz="8" w:space="0"/>
                    <w:right w:val="single" w:color="000000" w:sz="8" w:space="0"/>
                  </w:tcBorders>
                  <w:vAlign w:val="center"/>
                </w:tcPr>
                <w:p>
                  <w:pPr>
                    <w:pStyle w:val="54"/>
                  </w:pPr>
                  <w:r>
                    <w:rPr>
                      <w:rFonts w:hint="eastAsia"/>
                      <w:spacing w:val="7"/>
                      <w:position w:val="-1"/>
                    </w:rPr>
                    <w:t>a 是相对于详细评价工作内容而言，在描述危险物质、环境影响途径、环境危害后果、风险防范措施等方面给出定性的说明。</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综上，本项目风险潜势为Ⅰ，开展简单分析即可。</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本环评主要针对项目可能发生的风险进行风险识别、源项分析，并对事故影响进行简要分析，提出防范、减缓和应急措施。</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（2）风险识别和源项分析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本项目为砂石生产项目，项目原辅材料中（河卵石、含砂矿表土）主要成分是二氧化硅，无发生燃烧或爆炸危险；项目生产过程中机械设备维护产生的废机油属于《建设项目环境风险评价技术导则》（HJ 169-2018）“附录B 重点关注的危险物质及临界量”中的风险物质物质，其理化性质、危险特性、应急措施、储运及注意事项如</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_Ref6600654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ascii="Times New Roman" w:hAnsi="Times New Roman" w:cs="Times New Roman"/>
                <w:sz w:val="24"/>
              </w:rPr>
              <w:t>表7-22</w:t>
            </w:r>
            <w:r>
              <w:rPr>
                <w:rFonts w:ascii="Times New Roman" w:hAnsi="Times New Roman" w:cs="Times New Roman"/>
                <w:sz w:val="24"/>
              </w:rPr>
              <w:fldChar w:fldCharType="end"/>
            </w:r>
            <w:r>
              <w:rPr>
                <w:rFonts w:hint="eastAsia" w:ascii="Times New Roman" w:hAnsi="Times New Roman" w:cs="Times New Roman"/>
                <w:sz w:val="24"/>
              </w:rPr>
              <w:t>所示。</w:t>
            </w:r>
          </w:p>
          <w:tbl>
            <w:tblPr>
              <w:tblStyle w:val="25"/>
              <w:tblW w:w="88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998"/>
              <w:gridCol w:w="552"/>
              <w:gridCol w:w="1430"/>
              <w:gridCol w:w="993"/>
              <w:gridCol w:w="57"/>
              <w:gridCol w:w="186"/>
              <w:gridCol w:w="964"/>
              <w:gridCol w:w="409"/>
              <w:gridCol w:w="1496"/>
              <w:gridCol w:w="18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21" w:type="dxa"/>
                  <w:gridSpan w:val="12"/>
                  <w:tcBorders>
                    <w:top w:val="nil"/>
                    <w:left w:val="nil"/>
                    <w:right w:val="nil"/>
                  </w:tcBorders>
                  <w:vAlign w:val="center"/>
                </w:tcPr>
                <w:p>
                  <w:pPr>
                    <w:pStyle w:val="75"/>
                    <w:jc w:val="center"/>
                  </w:pPr>
                  <w:bookmarkStart w:id="76" w:name="_Ref6600654"/>
                  <w:r>
                    <w:rPr>
                      <w:b/>
                      <w:bCs/>
                    </w:rPr>
                    <w:t>表7-</w:t>
                  </w:r>
                  <w:r>
                    <w:rPr>
                      <w:b/>
                      <w:bCs/>
                    </w:rPr>
                    <w:fldChar w:fldCharType="begin"/>
                  </w:r>
                  <w:r>
                    <w:rPr>
                      <w:b/>
                      <w:bCs/>
                    </w:rPr>
                    <w:instrText xml:space="preserve"> SEQ 表7- \* ARABIC </w:instrText>
                  </w:r>
                  <w:r>
                    <w:rPr>
                      <w:b/>
                      <w:bCs/>
                    </w:rPr>
                    <w:fldChar w:fldCharType="separate"/>
                  </w:r>
                  <w:r>
                    <w:rPr>
                      <w:b/>
                      <w:bCs/>
                    </w:rPr>
                    <w:t>22</w:t>
                  </w:r>
                  <w:r>
                    <w:rPr>
                      <w:b/>
                      <w:bCs/>
                    </w:rPr>
                    <w:fldChar w:fldCharType="end"/>
                  </w:r>
                  <w:bookmarkEnd w:id="76"/>
                  <w:r>
                    <w:rPr>
                      <w:b/>
                      <w:bCs/>
                    </w:rPr>
                    <w:t xml:space="preserve">   </w:t>
                  </w:r>
                  <w:r>
                    <w:rPr>
                      <w:rFonts w:hint="eastAsia"/>
                      <w:b/>
                      <w:bCs/>
                      <w:szCs w:val="32"/>
                    </w:rPr>
                    <w:t>机油</w:t>
                  </w:r>
                  <w:r>
                    <w:rPr>
                      <w:b/>
                      <w:bCs/>
                      <w:szCs w:val="32"/>
                    </w:rPr>
                    <w:t>的理化性质及危险特性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Align w:val="center"/>
                </w:tcPr>
                <w:p>
                  <w:pPr>
                    <w:pStyle w:val="75"/>
                    <w:jc w:val="both"/>
                  </w:pPr>
                  <w:r>
                    <w:rPr>
                      <w:rFonts w:hint="eastAsia"/>
                    </w:rPr>
                    <w:t>标</w:t>
                  </w:r>
                </w:p>
                <w:p>
                  <w:pPr>
                    <w:pStyle w:val="75"/>
                    <w:jc w:val="both"/>
                  </w:pPr>
                  <w:r>
                    <w:rPr>
                      <w:rFonts w:hint="eastAsia"/>
                    </w:rPr>
                    <w:t>识</w:t>
                  </w:r>
                </w:p>
              </w:tc>
              <w:tc>
                <w:tcPr>
                  <w:tcW w:w="998" w:type="dxa"/>
                  <w:vAlign w:val="center"/>
                </w:tcPr>
                <w:p>
                  <w:pPr>
                    <w:pStyle w:val="75"/>
                    <w:jc w:val="both"/>
                  </w:pPr>
                  <w:r>
                    <w:rPr>
                      <w:rFonts w:hint="eastAsia"/>
                    </w:rPr>
                    <w:t>中文名</w:t>
                  </w:r>
                </w:p>
              </w:tc>
              <w:tc>
                <w:tcPr>
                  <w:tcW w:w="1982" w:type="dxa"/>
                  <w:gridSpan w:val="2"/>
                  <w:vAlign w:val="center"/>
                </w:tcPr>
                <w:p>
                  <w:pPr>
                    <w:pStyle w:val="75"/>
                    <w:jc w:val="both"/>
                  </w:pPr>
                  <w:r>
                    <w:rPr>
                      <w:rFonts w:hint="eastAsia"/>
                    </w:rPr>
                    <w:t>机油</w:t>
                  </w:r>
                </w:p>
              </w:tc>
              <w:tc>
                <w:tcPr>
                  <w:tcW w:w="993" w:type="dxa"/>
                  <w:vAlign w:val="center"/>
                </w:tcPr>
                <w:p>
                  <w:pPr>
                    <w:pStyle w:val="75"/>
                    <w:jc w:val="both"/>
                  </w:pPr>
                  <w:r>
                    <w:rPr>
                      <w:rFonts w:hint="eastAsia"/>
                    </w:rPr>
                    <w:t>英文名</w:t>
                  </w:r>
                </w:p>
              </w:tc>
              <w:tc>
                <w:tcPr>
                  <w:tcW w:w="1616" w:type="dxa"/>
                  <w:gridSpan w:val="4"/>
                  <w:vAlign w:val="center"/>
                </w:tcPr>
                <w:p>
                  <w:pPr>
                    <w:pStyle w:val="75"/>
                    <w:jc w:val="both"/>
                  </w:pPr>
                </w:p>
              </w:tc>
              <w:tc>
                <w:tcPr>
                  <w:tcW w:w="1676" w:type="dxa"/>
                  <w:gridSpan w:val="2"/>
                  <w:vAlign w:val="center"/>
                </w:tcPr>
                <w:p>
                  <w:pPr>
                    <w:pStyle w:val="75"/>
                    <w:jc w:val="both"/>
                  </w:pPr>
                  <w:r>
                    <w:rPr>
                      <w:rFonts w:hint="eastAsia"/>
                    </w:rPr>
                    <w:t>危险货物编号</w:t>
                  </w:r>
                </w:p>
              </w:tc>
              <w:tc>
                <w:tcPr>
                  <w:tcW w:w="1139" w:type="dxa"/>
                  <w:vAlign w:val="center"/>
                </w:tcPr>
                <w:p>
                  <w:pPr>
                    <w:pStyle w:val="75"/>
                    <w:jc w:val="both"/>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restart"/>
                  <w:vAlign w:val="center"/>
                </w:tcPr>
                <w:p>
                  <w:pPr>
                    <w:pStyle w:val="75"/>
                    <w:jc w:val="both"/>
                  </w:pPr>
                  <w:r>
                    <w:rPr>
                      <w:rFonts w:hint="eastAsia"/>
                    </w:rPr>
                    <w:t>理</w:t>
                  </w:r>
                </w:p>
                <w:p>
                  <w:pPr>
                    <w:pStyle w:val="75"/>
                    <w:jc w:val="both"/>
                  </w:pPr>
                  <w:r>
                    <w:rPr>
                      <w:rFonts w:hint="eastAsia"/>
                    </w:rPr>
                    <w:t>化</w:t>
                  </w:r>
                </w:p>
                <w:p>
                  <w:pPr>
                    <w:pStyle w:val="75"/>
                    <w:jc w:val="both"/>
                  </w:pPr>
                  <w:r>
                    <w:rPr>
                      <w:rFonts w:hint="eastAsia"/>
                    </w:rPr>
                    <w:t>性</w:t>
                  </w:r>
                </w:p>
                <w:p>
                  <w:pPr>
                    <w:pStyle w:val="75"/>
                    <w:jc w:val="both"/>
                  </w:pPr>
                  <w:r>
                    <w:rPr>
                      <w:rFonts w:hint="eastAsia"/>
                    </w:rPr>
                    <w:t>质</w:t>
                  </w:r>
                </w:p>
              </w:tc>
              <w:tc>
                <w:tcPr>
                  <w:tcW w:w="998" w:type="dxa"/>
                  <w:vAlign w:val="center"/>
                </w:tcPr>
                <w:p>
                  <w:pPr>
                    <w:pStyle w:val="75"/>
                    <w:jc w:val="both"/>
                  </w:pPr>
                  <w:r>
                    <w:rPr>
                      <w:rFonts w:hint="eastAsia"/>
                    </w:rPr>
                    <w:t>性  状</w:t>
                  </w:r>
                </w:p>
              </w:tc>
              <w:tc>
                <w:tcPr>
                  <w:tcW w:w="7406" w:type="dxa"/>
                  <w:gridSpan w:val="10"/>
                  <w:vAlign w:val="center"/>
                </w:tcPr>
                <w:p>
                  <w:pPr>
                    <w:pStyle w:val="75"/>
                    <w:jc w:val="both"/>
                  </w:pPr>
                  <w:r>
                    <w:rPr>
                      <w:rFonts w:hint="eastAsia"/>
                    </w:rPr>
                    <w:t>油状液体，淡黄色至褐色, 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沸  点（℃）</w:t>
                  </w:r>
                </w:p>
              </w:tc>
              <w:tc>
                <w:tcPr>
                  <w:tcW w:w="2480" w:type="dxa"/>
                  <w:gridSpan w:val="3"/>
                  <w:vAlign w:val="center"/>
                </w:tcPr>
                <w:p>
                  <w:pPr>
                    <w:pStyle w:val="75"/>
                    <w:jc w:val="both"/>
                  </w:pPr>
                </w:p>
              </w:tc>
              <w:tc>
                <w:tcPr>
                  <w:tcW w:w="3055" w:type="dxa"/>
                  <w:gridSpan w:val="4"/>
                  <w:vAlign w:val="center"/>
                </w:tcPr>
                <w:p>
                  <w:pPr>
                    <w:pStyle w:val="75"/>
                    <w:jc w:val="both"/>
                  </w:pPr>
                  <w:r>
                    <w:rPr>
                      <w:rFonts w:hint="eastAsia"/>
                    </w:rPr>
                    <w:t>相对密度（水＝1）</w:t>
                  </w:r>
                </w:p>
              </w:tc>
              <w:tc>
                <w:tcPr>
                  <w:tcW w:w="1319" w:type="dxa"/>
                  <w:gridSpan w:val="2"/>
                  <w:vAlign w:val="center"/>
                </w:tcPr>
                <w:p>
                  <w:pPr>
                    <w:pStyle w:val="75"/>
                    <w:jc w:val="both"/>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溶  解  性</w:t>
                  </w:r>
                </w:p>
              </w:tc>
              <w:tc>
                <w:tcPr>
                  <w:tcW w:w="6854" w:type="dxa"/>
                  <w:gridSpan w:val="9"/>
                  <w:vAlign w:val="center"/>
                </w:tcPr>
                <w:p>
                  <w:pPr>
                    <w:pStyle w:val="75"/>
                    <w:jc w:val="both"/>
                  </w:pPr>
                  <w:r>
                    <w:t>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restart"/>
                  <w:vAlign w:val="center"/>
                </w:tcPr>
                <w:p>
                  <w:pPr>
                    <w:pStyle w:val="75"/>
                    <w:jc w:val="both"/>
                  </w:pPr>
                  <w:r>
                    <w:rPr>
                      <w:rFonts w:hint="eastAsia"/>
                    </w:rPr>
                    <w:t>燃</w:t>
                  </w:r>
                </w:p>
                <w:p>
                  <w:pPr>
                    <w:pStyle w:val="75"/>
                    <w:jc w:val="both"/>
                  </w:pPr>
                  <w:r>
                    <w:rPr>
                      <w:rFonts w:hint="eastAsia"/>
                    </w:rPr>
                    <w:t>烧</w:t>
                  </w:r>
                </w:p>
                <w:p>
                  <w:pPr>
                    <w:pStyle w:val="75"/>
                    <w:jc w:val="both"/>
                  </w:pPr>
                  <w:r>
                    <w:rPr>
                      <w:rFonts w:hint="eastAsia"/>
                    </w:rPr>
                    <w:t>爆</w:t>
                  </w:r>
                </w:p>
                <w:p>
                  <w:pPr>
                    <w:pStyle w:val="75"/>
                    <w:jc w:val="both"/>
                  </w:pPr>
                  <w:r>
                    <w:rPr>
                      <w:rFonts w:hint="eastAsia"/>
                    </w:rPr>
                    <w:t>炸</w:t>
                  </w:r>
                </w:p>
                <w:p>
                  <w:pPr>
                    <w:pStyle w:val="75"/>
                    <w:jc w:val="both"/>
                  </w:pPr>
                  <w:r>
                    <w:rPr>
                      <w:rFonts w:hint="eastAsia"/>
                    </w:rPr>
                    <w:t>危</w:t>
                  </w:r>
                </w:p>
                <w:p>
                  <w:pPr>
                    <w:pStyle w:val="75"/>
                    <w:jc w:val="both"/>
                  </w:pPr>
                  <w:r>
                    <w:rPr>
                      <w:rFonts w:hint="eastAsia"/>
                    </w:rPr>
                    <w:t>险</w:t>
                  </w:r>
                </w:p>
                <w:p>
                  <w:pPr>
                    <w:pStyle w:val="75"/>
                    <w:jc w:val="both"/>
                  </w:pPr>
                  <w:r>
                    <w:rPr>
                      <w:rFonts w:hint="eastAsia"/>
                    </w:rPr>
                    <w:t>性</w:t>
                  </w:r>
                </w:p>
              </w:tc>
              <w:tc>
                <w:tcPr>
                  <w:tcW w:w="1550" w:type="dxa"/>
                  <w:gridSpan w:val="2"/>
                  <w:vAlign w:val="center"/>
                </w:tcPr>
                <w:p>
                  <w:pPr>
                    <w:pStyle w:val="75"/>
                    <w:jc w:val="both"/>
                  </w:pPr>
                  <w:r>
                    <w:rPr>
                      <w:rFonts w:hint="eastAsia"/>
                    </w:rPr>
                    <w:t>燃  烧  性</w:t>
                  </w:r>
                </w:p>
              </w:tc>
              <w:tc>
                <w:tcPr>
                  <w:tcW w:w="2480" w:type="dxa"/>
                  <w:gridSpan w:val="3"/>
                  <w:vAlign w:val="center"/>
                </w:tcPr>
                <w:p>
                  <w:pPr>
                    <w:pStyle w:val="75"/>
                    <w:jc w:val="both"/>
                  </w:pPr>
                  <w:r>
                    <w:rPr>
                      <w:rFonts w:hint="eastAsia"/>
                    </w:rPr>
                    <w:t>可燃</w:t>
                  </w:r>
                </w:p>
              </w:tc>
              <w:tc>
                <w:tcPr>
                  <w:tcW w:w="3055" w:type="dxa"/>
                  <w:gridSpan w:val="4"/>
                  <w:vAlign w:val="center"/>
                </w:tcPr>
                <w:p>
                  <w:pPr>
                    <w:pStyle w:val="75"/>
                    <w:jc w:val="both"/>
                  </w:pPr>
                  <w:r>
                    <w:rPr>
                      <w:rFonts w:hint="eastAsia"/>
                    </w:rPr>
                    <w:t>闪点（℃）</w:t>
                  </w:r>
                </w:p>
              </w:tc>
              <w:tc>
                <w:tcPr>
                  <w:tcW w:w="1319" w:type="dxa"/>
                  <w:gridSpan w:val="2"/>
                  <w:vAlign w:val="center"/>
                </w:tcPr>
                <w:p>
                  <w:pPr>
                    <w:pStyle w:val="75"/>
                    <w:jc w:val="both"/>
                  </w:pPr>
                  <w:r>
                    <w:rPr>
                      <w:rFonts w:hint="eastAsia"/>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爆炸极限（％）</w:t>
                  </w:r>
                </w:p>
              </w:tc>
              <w:tc>
                <w:tcPr>
                  <w:tcW w:w="2480" w:type="dxa"/>
                  <w:gridSpan w:val="3"/>
                  <w:vAlign w:val="center"/>
                </w:tcPr>
                <w:p>
                  <w:pPr>
                    <w:pStyle w:val="75"/>
                    <w:jc w:val="both"/>
                  </w:pPr>
                  <w:r>
                    <w:rPr>
                      <w:rFonts w:hint="eastAsia"/>
                    </w:rPr>
                    <w:t>无资料</w:t>
                  </w:r>
                </w:p>
              </w:tc>
              <w:tc>
                <w:tcPr>
                  <w:tcW w:w="3055" w:type="dxa"/>
                  <w:gridSpan w:val="4"/>
                  <w:vAlign w:val="center"/>
                </w:tcPr>
                <w:p>
                  <w:pPr>
                    <w:pStyle w:val="75"/>
                    <w:jc w:val="both"/>
                  </w:pPr>
                  <w:r>
                    <w:rPr>
                      <w:rFonts w:hint="eastAsia"/>
                    </w:rPr>
                    <w:t>引燃温度（℃）</w:t>
                  </w:r>
                </w:p>
              </w:tc>
              <w:tc>
                <w:tcPr>
                  <w:tcW w:w="1319" w:type="dxa"/>
                  <w:gridSpan w:val="2"/>
                  <w:vAlign w:val="center"/>
                </w:tcPr>
                <w:p>
                  <w:pPr>
                    <w:pStyle w:val="75"/>
                    <w:jc w:val="both"/>
                  </w:pPr>
                  <w:r>
                    <w:rPr>
                      <w:rFonts w:hint="eastAsia"/>
                    </w:rPr>
                    <w:t>220-500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危 险 特 性</w:t>
                  </w:r>
                </w:p>
              </w:tc>
              <w:tc>
                <w:tcPr>
                  <w:tcW w:w="6854" w:type="dxa"/>
                  <w:gridSpan w:val="9"/>
                  <w:vAlign w:val="center"/>
                </w:tcPr>
                <w:p>
                  <w:pPr>
                    <w:pStyle w:val="75"/>
                    <w:jc w:val="both"/>
                  </w:pPr>
                  <w:r>
                    <w:rPr>
                      <w:rFonts w:hint="eastAsia"/>
                    </w:rPr>
                    <w:t>遇明火、高热可燃。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灭火方法</w:t>
                  </w:r>
                </w:p>
              </w:tc>
              <w:tc>
                <w:tcPr>
                  <w:tcW w:w="6854" w:type="dxa"/>
                  <w:gridSpan w:val="9"/>
                  <w:vAlign w:val="center"/>
                </w:tcPr>
                <w:p>
                  <w:pPr>
                    <w:pStyle w:val="75"/>
                    <w:ind w:firstLine="420" w:firstLineChars="200"/>
                    <w:jc w:val="both"/>
                  </w:pPr>
                  <w:r>
                    <w:rPr>
                      <w:rFonts w:hint="eastAsia"/>
                    </w:rPr>
                    <w:t>消防人员须佩戴防毒面具、穿全身消防服，在上风向灭火。尽可能将容器从火场移至空旷处。喷水保持火场容器冷却，直至灭火结束。处在火场中的容器若已变色或从安全泄压装置中产生声音，必须马上撤离。</w:t>
                  </w:r>
                </w:p>
                <w:p>
                  <w:pPr>
                    <w:pStyle w:val="75"/>
                    <w:jc w:val="both"/>
                  </w:pPr>
                  <w:r>
                    <w:rPr>
                      <w:rFonts w:hint="eastAsia"/>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禁忌物</w:t>
                  </w:r>
                </w:p>
              </w:tc>
              <w:tc>
                <w:tcPr>
                  <w:tcW w:w="3630" w:type="dxa"/>
                  <w:gridSpan w:val="5"/>
                  <w:vAlign w:val="center"/>
                </w:tcPr>
                <w:p>
                  <w:pPr>
                    <w:pStyle w:val="75"/>
                    <w:jc w:val="both"/>
                  </w:pPr>
                  <w:r>
                    <w:rPr>
                      <w:rFonts w:hint="eastAsia"/>
                    </w:rPr>
                    <w:t>酸、碱及强氧化剂</w:t>
                  </w:r>
                </w:p>
              </w:tc>
              <w:tc>
                <w:tcPr>
                  <w:tcW w:w="1905" w:type="dxa"/>
                  <w:gridSpan w:val="2"/>
                  <w:vAlign w:val="center"/>
                </w:tcPr>
                <w:p>
                  <w:pPr>
                    <w:pStyle w:val="75"/>
                    <w:jc w:val="both"/>
                  </w:pPr>
                  <w:r>
                    <w:rPr>
                      <w:rFonts w:hint="eastAsia"/>
                    </w:rPr>
                    <w:t>稳定性</w:t>
                  </w:r>
                </w:p>
              </w:tc>
              <w:tc>
                <w:tcPr>
                  <w:tcW w:w="1319" w:type="dxa"/>
                  <w:gridSpan w:val="2"/>
                  <w:vAlign w:val="center"/>
                </w:tcPr>
                <w:p>
                  <w:pPr>
                    <w:pStyle w:val="75"/>
                    <w:jc w:val="both"/>
                  </w:pPr>
                  <w:r>
                    <w:rPr>
                      <w:rFonts w:hint="eastAsia"/>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燃烧产物</w:t>
                  </w:r>
                </w:p>
              </w:tc>
              <w:tc>
                <w:tcPr>
                  <w:tcW w:w="3630" w:type="dxa"/>
                  <w:gridSpan w:val="5"/>
                  <w:vAlign w:val="center"/>
                </w:tcPr>
                <w:p>
                  <w:pPr>
                    <w:pStyle w:val="75"/>
                    <w:jc w:val="both"/>
                  </w:pPr>
                  <w:r>
                    <w:t>一氧化碳、二氧化碳</w:t>
                  </w:r>
                </w:p>
              </w:tc>
              <w:tc>
                <w:tcPr>
                  <w:tcW w:w="1905" w:type="dxa"/>
                  <w:gridSpan w:val="2"/>
                  <w:vAlign w:val="center"/>
                </w:tcPr>
                <w:p>
                  <w:pPr>
                    <w:pStyle w:val="75"/>
                    <w:jc w:val="both"/>
                  </w:pPr>
                  <w:r>
                    <w:rPr>
                      <w:rFonts w:hint="eastAsia"/>
                    </w:rPr>
                    <w:t>聚合危害</w:t>
                  </w:r>
                </w:p>
              </w:tc>
              <w:tc>
                <w:tcPr>
                  <w:tcW w:w="1319" w:type="dxa"/>
                  <w:gridSpan w:val="2"/>
                  <w:vAlign w:val="center"/>
                </w:tcPr>
                <w:p>
                  <w:pPr>
                    <w:pStyle w:val="75"/>
                    <w:jc w:val="both"/>
                  </w:pPr>
                  <w:r>
                    <w:rPr>
                      <w:rFonts w:hint="eastAsia"/>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restart"/>
                  <w:vAlign w:val="center"/>
                </w:tcPr>
                <w:p>
                  <w:pPr>
                    <w:pStyle w:val="75"/>
                    <w:jc w:val="both"/>
                  </w:pPr>
                  <w:r>
                    <w:rPr>
                      <w:rFonts w:hint="eastAsia"/>
                    </w:rPr>
                    <w:t>毒性及健康危害</w:t>
                  </w:r>
                </w:p>
              </w:tc>
              <w:tc>
                <w:tcPr>
                  <w:tcW w:w="1550" w:type="dxa"/>
                  <w:gridSpan w:val="2"/>
                  <w:vAlign w:val="center"/>
                </w:tcPr>
                <w:p>
                  <w:pPr>
                    <w:pStyle w:val="75"/>
                    <w:jc w:val="both"/>
                  </w:pPr>
                  <w:r>
                    <w:rPr>
                      <w:rFonts w:hint="eastAsia"/>
                    </w:rPr>
                    <w:t>急性毒性</w:t>
                  </w:r>
                </w:p>
              </w:tc>
              <w:tc>
                <w:tcPr>
                  <w:tcW w:w="2666" w:type="dxa"/>
                  <w:gridSpan w:val="4"/>
                  <w:vAlign w:val="center"/>
                </w:tcPr>
                <w:p>
                  <w:pPr>
                    <w:pStyle w:val="75"/>
                    <w:jc w:val="both"/>
                  </w:pPr>
                  <w:r>
                    <w:rPr>
                      <w:rFonts w:hint="eastAsia"/>
                    </w:rPr>
                    <w:t>LD50（mg/kg，大鼠经口）</w:t>
                  </w:r>
                </w:p>
              </w:tc>
              <w:tc>
                <w:tcPr>
                  <w:tcW w:w="964" w:type="dxa"/>
                  <w:vAlign w:val="center"/>
                </w:tcPr>
                <w:p>
                  <w:pPr>
                    <w:pStyle w:val="75"/>
                    <w:jc w:val="both"/>
                  </w:pPr>
                  <w:r>
                    <w:rPr>
                      <w:rFonts w:hint="eastAsia"/>
                    </w:rPr>
                    <w:t>无资料</w:t>
                  </w:r>
                </w:p>
              </w:tc>
              <w:tc>
                <w:tcPr>
                  <w:tcW w:w="1905" w:type="dxa"/>
                  <w:gridSpan w:val="2"/>
                  <w:vAlign w:val="center"/>
                </w:tcPr>
                <w:p>
                  <w:pPr>
                    <w:pStyle w:val="75"/>
                    <w:jc w:val="both"/>
                  </w:pPr>
                  <w:r>
                    <w:rPr>
                      <w:rFonts w:hint="eastAsia"/>
                    </w:rPr>
                    <w:t>LC50（mg/kg）</w:t>
                  </w:r>
                </w:p>
              </w:tc>
              <w:tc>
                <w:tcPr>
                  <w:tcW w:w="1319" w:type="dxa"/>
                  <w:gridSpan w:val="2"/>
                  <w:vAlign w:val="center"/>
                </w:tcPr>
                <w:p>
                  <w:pPr>
                    <w:pStyle w:val="75"/>
                    <w:jc w:val="both"/>
                  </w:pPr>
                  <w:r>
                    <w:rPr>
                      <w:rFonts w:hint="eastAsi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Merge w:val="continue"/>
                  <w:vAlign w:val="center"/>
                </w:tcPr>
                <w:p>
                  <w:pPr>
                    <w:pStyle w:val="75"/>
                    <w:jc w:val="both"/>
                  </w:pPr>
                </w:p>
              </w:tc>
              <w:tc>
                <w:tcPr>
                  <w:tcW w:w="1550" w:type="dxa"/>
                  <w:gridSpan w:val="2"/>
                  <w:vAlign w:val="center"/>
                </w:tcPr>
                <w:p>
                  <w:pPr>
                    <w:pStyle w:val="75"/>
                    <w:jc w:val="both"/>
                  </w:pPr>
                  <w:r>
                    <w:rPr>
                      <w:rFonts w:hint="eastAsia"/>
                    </w:rPr>
                    <w:t>健 康 危 害</w:t>
                  </w:r>
                </w:p>
              </w:tc>
              <w:tc>
                <w:tcPr>
                  <w:tcW w:w="6854" w:type="dxa"/>
                  <w:gridSpan w:val="9"/>
                  <w:vAlign w:val="center"/>
                </w:tcPr>
                <w:p>
                  <w:pPr>
                    <w:pStyle w:val="75"/>
                    <w:jc w:val="both"/>
                  </w:pPr>
                  <w:r>
                    <w:rPr>
                      <w:rFonts w:hint="eastAsia"/>
                    </w:rPr>
                    <w:t>过度接触会造成眼部、皮肤或呼吸刺激。皮肤下高压注射可能会引起严重损伤。</w:t>
                  </w:r>
                </w:p>
                <w:p>
                  <w:pPr>
                    <w:pStyle w:val="75"/>
                    <w:jc w:val="both"/>
                  </w:pPr>
                  <w:r>
                    <w:rPr>
                      <w:rFonts w:hint="eastAsia"/>
                    </w:rPr>
                    <w:t>注意：健康研究已经表明，化学接触可能对人体健康造成潜在危害,这一点因人而异。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Align w:val="center"/>
                </w:tcPr>
                <w:p>
                  <w:pPr>
                    <w:pStyle w:val="75"/>
                    <w:jc w:val="both"/>
                  </w:pPr>
                  <w:r>
                    <w:rPr>
                      <w:rFonts w:hint="eastAsia"/>
                    </w:rPr>
                    <w:t>急</w:t>
                  </w:r>
                </w:p>
                <w:p>
                  <w:pPr>
                    <w:pStyle w:val="75"/>
                    <w:jc w:val="both"/>
                  </w:pPr>
                </w:p>
                <w:p>
                  <w:pPr>
                    <w:pStyle w:val="75"/>
                    <w:jc w:val="both"/>
                  </w:pPr>
                  <w:r>
                    <w:rPr>
                      <w:rFonts w:hint="eastAsia"/>
                    </w:rPr>
                    <w:t>救</w:t>
                  </w:r>
                </w:p>
              </w:tc>
              <w:tc>
                <w:tcPr>
                  <w:tcW w:w="8404" w:type="dxa"/>
                  <w:gridSpan w:val="11"/>
                  <w:vAlign w:val="center"/>
                </w:tcPr>
                <w:p>
                  <w:pPr>
                    <w:pStyle w:val="75"/>
                    <w:ind w:firstLine="420" w:firstLineChars="200"/>
                    <w:jc w:val="both"/>
                  </w:pPr>
                  <w:r>
                    <w:rPr>
                      <w:rFonts w:hint="eastAsia"/>
                    </w:rPr>
                    <w:t>吸入：避免进一步吸入接触。对于那些提供帮助的人员,应使您或者其他人避免吸入。进行充分的呼吸防护。如果出现呼吸刺激、头昏、恶心、或者神志不清,请立刻就医。如果呼吸停止,请使用机械设备帮助通风,或者进行嘴对嘴人工呼吸急救。</w:t>
                  </w:r>
                </w:p>
                <w:p>
                  <w:pPr>
                    <w:pStyle w:val="75"/>
                    <w:ind w:firstLine="420" w:firstLineChars="200"/>
                    <w:jc w:val="both"/>
                  </w:pPr>
                  <w:r>
                    <w:rPr>
                      <w:rFonts w:hint="eastAsia"/>
                    </w:rPr>
                    <w:t>皮肤接触：用肥皂和水清洗接触的部位。如果产品被注入皮下或者人体任何部位,无论伤口的外观或大小如何,被注射者必须立即由医生依照外科急救进行检查。即使高压注入后的最初症状轻微或者无症状,在事故最初几个小时内及早进行外科处理可以显著减少最终伤害的程度。</w:t>
                  </w:r>
                </w:p>
                <w:p>
                  <w:pPr>
                    <w:pStyle w:val="75"/>
                    <w:ind w:firstLine="420" w:firstLineChars="200"/>
                    <w:jc w:val="both"/>
                  </w:pPr>
                  <w:r>
                    <w:rPr>
                      <w:rFonts w:hint="eastAsia"/>
                    </w:rPr>
                    <w:t>眼睛接触：用水彻底冲洗。若发生刺激，寻求医疗援助。</w:t>
                  </w:r>
                </w:p>
                <w:p>
                  <w:pPr>
                    <w:pStyle w:val="75"/>
                    <w:ind w:firstLine="420" w:firstLineChars="200"/>
                    <w:jc w:val="both"/>
                  </w:pPr>
                  <w:r>
                    <w:rPr>
                      <w:rFonts w:hint="eastAsia"/>
                    </w:rPr>
                    <w:t>食入：通常不需急救。如果感觉不适请就医。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Align w:val="center"/>
                </w:tcPr>
                <w:p>
                  <w:pPr>
                    <w:pStyle w:val="75"/>
                    <w:jc w:val="both"/>
                  </w:pPr>
                  <w:r>
                    <w:rPr>
                      <w:rFonts w:hint="eastAsia"/>
                    </w:rPr>
                    <w:t>防</w:t>
                  </w:r>
                </w:p>
                <w:p>
                  <w:pPr>
                    <w:pStyle w:val="75"/>
                    <w:jc w:val="both"/>
                  </w:pPr>
                  <w:r>
                    <w:rPr>
                      <w:rFonts w:hint="eastAsia"/>
                    </w:rPr>
                    <w:t>护</w:t>
                  </w:r>
                </w:p>
              </w:tc>
              <w:tc>
                <w:tcPr>
                  <w:tcW w:w="8404" w:type="dxa"/>
                  <w:gridSpan w:val="11"/>
                  <w:vAlign w:val="center"/>
                </w:tcPr>
                <w:p>
                  <w:pPr>
                    <w:pStyle w:val="75"/>
                    <w:ind w:firstLine="420" w:firstLineChars="200"/>
                    <w:jc w:val="both"/>
                  </w:pPr>
                  <w:r>
                    <w:rPr>
                      <w:rFonts w:hint="eastAsia"/>
                    </w:rPr>
                    <w:t>工程控制：密闭操作，注意通风；</w:t>
                  </w:r>
                </w:p>
                <w:p>
                  <w:pPr>
                    <w:pStyle w:val="75"/>
                    <w:ind w:firstLine="420" w:firstLineChars="200"/>
                    <w:jc w:val="both"/>
                  </w:pPr>
                  <w:r>
                    <w:rPr>
                      <w:rFonts w:hint="eastAsia"/>
                    </w:rPr>
                    <w:t xml:space="preserve">呼吸系统防护：空气中浓度超标时，建议佩戴自吸过滤式防毒面具（半面罩）。紧急事态抢救或撤离时，应该佩戴空气呼吸器。 </w:t>
                  </w:r>
                </w:p>
                <w:p>
                  <w:pPr>
                    <w:pStyle w:val="75"/>
                    <w:ind w:firstLine="420" w:firstLineChars="200"/>
                    <w:jc w:val="both"/>
                  </w:pPr>
                  <w:r>
                    <w:rPr>
                      <w:rFonts w:hint="eastAsia"/>
                    </w:rPr>
                    <w:t>眼睛防护：戴化学安全防护眼镜。</w:t>
                  </w:r>
                </w:p>
                <w:p>
                  <w:pPr>
                    <w:pStyle w:val="75"/>
                    <w:ind w:firstLine="420" w:firstLineChars="200"/>
                    <w:jc w:val="both"/>
                  </w:pPr>
                  <w:r>
                    <w:rPr>
                      <w:rFonts w:hint="eastAsia"/>
                    </w:rPr>
                    <w:t>身体防护：穿防毒物渗透工作服；</w:t>
                  </w:r>
                </w:p>
                <w:p>
                  <w:pPr>
                    <w:pStyle w:val="75"/>
                    <w:ind w:firstLine="420" w:firstLineChars="200"/>
                    <w:jc w:val="both"/>
                  </w:pPr>
                  <w:r>
                    <w:rPr>
                      <w:rFonts w:hint="eastAsia"/>
                    </w:rPr>
                    <w:t>手防护：戴橡胶耐油手套；</w:t>
                  </w:r>
                </w:p>
                <w:p>
                  <w:pPr>
                    <w:pStyle w:val="75"/>
                    <w:ind w:firstLine="420" w:firstLineChars="200"/>
                    <w:jc w:val="both"/>
                  </w:pPr>
                  <w:r>
                    <w:rPr>
                      <w:rFonts w:hint="eastAsia"/>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Align w:val="center"/>
                </w:tcPr>
                <w:p>
                  <w:pPr>
                    <w:pStyle w:val="75"/>
                    <w:jc w:val="both"/>
                  </w:pPr>
                  <w:r>
                    <w:rPr>
                      <w:rFonts w:hint="eastAsia"/>
                    </w:rPr>
                    <w:t>泄漏处理</w:t>
                  </w:r>
                </w:p>
              </w:tc>
              <w:tc>
                <w:tcPr>
                  <w:tcW w:w="8404" w:type="dxa"/>
                  <w:gridSpan w:val="11"/>
                  <w:vAlign w:val="center"/>
                </w:tcPr>
                <w:p>
                  <w:pPr>
                    <w:pStyle w:val="75"/>
                    <w:ind w:firstLine="420" w:firstLineChars="200"/>
                    <w:jc w:val="both"/>
                  </w:pPr>
                  <w:r>
                    <w:rPr>
                      <w:rFonts w:hint="eastAsia"/>
                    </w:rPr>
                    <w:t>迅速撤离泄漏污染区人员至安全区，并进行隔离，严格限制出入， 切断火源。建议应急处理人员戴自给正压式呼吸器，穿防毒服。尽可能切断泄漏源， 防止流入下水道、排洪沟等限制性空间。小量泄漏：用砂土或其它不燃材料吸附或吸收。大量泄漏：构筑围堤或挖坑收容。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17" w:type="dxa"/>
                  <w:vAlign w:val="center"/>
                </w:tcPr>
                <w:p>
                  <w:pPr>
                    <w:pStyle w:val="75"/>
                    <w:jc w:val="both"/>
                  </w:pPr>
                  <w:r>
                    <w:rPr>
                      <w:rFonts w:hint="eastAsia"/>
                    </w:rPr>
                    <w:t>储运</w:t>
                  </w:r>
                </w:p>
              </w:tc>
              <w:tc>
                <w:tcPr>
                  <w:tcW w:w="8404" w:type="dxa"/>
                  <w:gridSpan w:val="11"/>
                  <w:vAlign w:val="center"/>
                </w:tcPr>
                <w:p>
                  <w:pPr>
                    <w:pStyle w:val="75"/>
                    <w:ind w:firstLine="420" w:firstLineChars="200"/>
                    <w:jc w:val="both"/>
                  </w:pPr>
                  <w:r>
                    <w:rPr>
                      <w:rFonts w:hint="eastAsia"/>
                    </w:rPr>
                    <w:t>运输前应先检查包装容器是否完整、密封，运输过程中要确保容器不泄漏、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配装位置应远离卧室、厨房，并与电源、火源等部位隔离。公路运输时要按规定路线行驶。</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结合</w:t>
            </w:r>
            <w:r>
              <w:rPr>
                <w:rFonts w:ascii="Times New Roman" w:hAnsi="Times New Roman" w:cs="Times New Roman"/>
                <w:sz w:val="24"/>
              </w:rPr>
              <w:t>同类</w:t>
            </w:r>
            <w:r>
              <w:rPr>
                <w:rFonts w:hint="eastAsia" w:ascii="Times New Roman" w:hAnsi="Times New Roman" w:cs="Times New Roman"/>
                <w:sz w:val="24"/>
              </w:rPr>
              <w:t>项目的</w:t>
            </w:r>
            <w:r>
              <w:rPr>
                <w:rFonts w:ascii="Times New Roman" w:hAnsi="Times New Roman" w:cs="Times New Roman"/>
                <w:sz w:val="24"/>
              </w:rPr>
              <w:t>调查，可得出</w:t>
            </w:r>
            <w:r>
              <w:rPr>
                <w:rFonts w:hint="eastAsia" w:ascii="Times New Roman" w:hAnsi="Times New Roman" w:cs="Times New Roman"/>
                <w:sz w:val="24"/>
              </w:rPr>
              <w:t>本项目生产过程中的环境风险主要有以下几点：</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生产废水处理设施失效，废水事故性排放导致周边水体污染。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废气处理设施失效，废气事故性排放导致周边大气污染。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机械设备跑、冒、滴、漏产生的含油类废水污染场地土壤和周边水体。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危废暂存间防雨、防渗措施不到位，暂存的废机油等危险废物可能发生泄漏和渗透，污染土壤和地下水。</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（3）环境风险后果与影响分析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生产废水非正常排放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生产废水主要为石材加工废水、车辆清洗废水，其中石材加工废水水量大，悬浮物浓度高。由环境影响分析章节可知，当生产废水处理设施因故障停止运行，废水未经过处理直接排入周边沟渠，会导致水体中SS出现超标。因此，建设方一定要注意废水处理措施的日常管理和维护，确保生产废水处理设施正常、高效运行，并做好废水处理区的防渗漏措施，避免废水渗漏导致地下水污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废气非正常排放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废气主要为破碎和筛分粉尘等。由工程分析和环境影响分析章节可知，当废气处理设施（除尘系统）因故障停止运行，废气未经过处理直接排放时，外排废气将超标排放，导致周边环境空气污染。因此，建设方一定要注意废气处理措施的日常管理和维护，确保废气处理设施正常、高效运行。</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机械设备跑、冒、滴、漏环境影响分析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营运过程中不可避免的需要对生产设备进行维修和保养，若机械设备修理、维护过程及作业不规范，易产生跑、冒、滴、漏现象。滴漏的物质主要是润滑油、柴油、汽油等石油类物质，这类物质一旦进入水体则漂浮于水面，阻碍气水界面的物质交换，使水体溶解氧得不到及时补给，给水生生物的生命活动造成威胁；同时，滴漏的油类还将对土壤造成污染。因此，建设单位应按规范进行维修和维护保养作业，避免跑、冒、滴、漏的产生。</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危险废物泄漏环境影响分析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设置有危废暂存间，暂存物质均为危险废物，主要危险特性为毒性和易燃性，无感染性废物和反应性废物。危险废物贮存过程存在发生风险事故的可能，导致危险废物发生泄露，引起的土壤和地下水污染。本项目将采用专用密闭容器贮存危险废物，危废间采用防渗地面，并设置围堰。泄漏事故状态下，泄漏的危险废物会首先被收集在贮存区的围堰内，进入水体、土壤和装置外环境的可能性很小，风险可控。</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（4）环境风险防范和应急措施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生产废水非正常排放风险防范和应急措施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lang w:val="en-GB"/>
              </w:rPr>
              <w:t>加强废水处理设施的日常维修和维护管理，确保处理设施正常、高效运行，若废水处理设施发生故障应立即停产。做好废水处理区的防渗漏措施，保证排水沟畅通，避免废水渗漏导致地下水污染。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废气非正常排放风险防范和应急措施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lang w:val="en-GB"/>
              </w:rPr>
              <w:t>加强废气处理设施（除尘系统）的日常维修和维护管理，确保处理设施正常、高效运行，若</w:t>
            </w:r>
            <w:r>
              <w:rPr>
                <w:rFonts w:hint="eastAsia" w:ascii="Times New Roman" w:hAnsi="Times New Roman" w:cs="Times New Roman"/>
                <w:sz w:val="24"/>
              </w:rPr>
              <w:t>废气</w:t>
            </w:r>
            <w:r>
              <w:rPr>
                <w:rFonts w:hint="eastAsia" w:ascii="Times New Roman" w:hAnsi="Times New Roman" w:cs="Times New Roman"/>
                <w:sz w:val="24"/>
                <w:lang w:val="en-GB"/>
              </w:rPr>
              <w:t>处理设施（除尘系统）发生故障应立即停产。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机械设备跑、冒、滴、漏风险防范和应急措施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加强机械设备维护，定期检修，规范检修和维护作业，避免跑、冒、滴、漏油的现象产生，更换机油等应到专业维修站进行，避免石油类物质泄漏随地表径流进入水体。</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危险废物泄露风险防范和应急措施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a、按照《危险废物贮存污染控制标准》（GB18597-2001）及其修改单（2013年第36号）要求建设危废暂存间，暂存间应封闭，应做好防雨、防风、防渗漏、防扬散措施，应设置围堰及渗出液收集设施。</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b、按照《环境保护图形标志—固体废物贮存（处置）场》（GB15562.2-1995）的要求设立危险废物标示牌，采用专用密闭容器贮存危险废物，容器上必须粘贴符合标准的标签。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c、定期将危险废物交由有资质单位处置，不私自非法处置。</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（5）环境风险事故应急预案</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通过对事故的风险评价，建设单位应加强生产管理，制定突发环境事故发生应急预案，消除事故隐患的实施及突发性事故应急办法等。</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应急预案的内容应包括以下内容。</w:t>
            </w:r>
          </w:p>
          <w:p>
            <w:pPr>
              <w:adjustRightInd w:val="0"/>
              <w:snapToGrid w:val="0"/>
              <w:spacing w:before="156" w:beforeLines="50" w:line="360" w:lineRule="auto"/>
              <w:jc w:val="center"/>
              <w:textAlignment w:val="baseline"/>
              <w:rPr>
                <w:rFonts w:cs="Times New Roman" w:asciiTheme="minorEastAsia" w:hAnsiTheme="minorEastAsia"/>
                <w:b/>
                <w:kern w:val="24"/>
                <w:szCs w:val="21"/>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23</w:t>
            </w:r>
            <w:r>
              <w:rPr>
                <w:rFonts w:ascii="Times New Roman" w:hAnsi="Times New Roman" w:cs="Times New Roman"/>
                <w:b/>
                <w:bCs/>
              </w:rPr>
              <w:fldChar w:fldCharType="end"/>
            </w:r>
            <w:r>
              <w:rPr>
                <w:rFonts w:hint="eastAsia" w:cs="Times New Roman" w:asciiTheme="minorEastAsia" w:hAnsiTheme="minorEastAsia"/>
                <w:b/>
                <w:kern w:val="24"/>
                <w:szCs w:val="21"/>
              </w:rPr>
              <w:t>应急预案内容</w:t>
            </w:r>
          </w:p>
          <w:tbl>
            <w:tblPr>
              <w:tblStyle w:val="25"/>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44"/>
              <w:gridCol w:w="5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b/>
                      <w:bCs/>
                      <w:szCs w:val="21"/>
                    </w:rPr>
                  </w:pPr>
                  <w:r>
                    <w:rPr>
                      <w:rFonts w:ascii="Times New Roman" w:hAnsi="宋体" w:cs="Times New Roman"/>
                      <w:b/>
                      <w:bCs/>
                    </w:rPr>
                    <w:t>序号</w:t>
                  </w:r>
                </w:p>
              </w:tc>
              <w:tc>
                <w:tcPr>
                  <w:tcW w:w="2444" w:type="dxa"/>
                  <w:vAlign w:val="center"/>
                </w:tcPr>
                <w:p>
                  <w:pPr>
                    <w:jc w:val="center"/>
                    <w:rPr>
                      <w:rFonts w:ascii="Times New Roman" w:hAnsi="Times New Roman" w:eastAsia="宋体" w:cs="Times New Roman"/>
                      <w:b/>
                      <w:bCs/>
                      <w:szCs w:val="21"/>
                    </w:rPr>
                  </w:pPr>
                  <w:r>
                    <w:rPr>
                      <w:rFonts w:ascii="Times New Roman" w:hAnsi="宋体" w:cs="Times New Roman"/>
                      <w:b/>
                      <w:bCs/>
                    </w:rPr>
                    <w:t>项目</w:t>
                  </w:r>
                </w:p>
              </w:tc>
              <w:tc>
                <w:tcPr>
                  <w:tcW w:w="5889" w:type="dxa"/>
                  <w:vAlign w:val="center"/>
                </w:tcPr>
                <w:p>
                  <w:pPr>
                    <w:jc w:val="center"/>
                    <w:rPr>
                      <w:rFonts w:ascii="Times New Roman" w:hAnsi="Times New Roman" w:eastAsia="宋体" w:cs="Times New Roman"/>
                      <w:b/>
                      <w:bCs/>
                      <w:szCs w:val="21"/>
                    </w:rPr>
                  </w:pPr>
                  <w:r>
                    <w:rPr>
                      <w:rFonts w:ascii="Times New Roman" w:hAnsi="宋体" w:cs="Times New Roman"/>
                      <w:b/>
                      <w:bCs/>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1</w:t>
                  </w:r>
                </w:p>
              </w:tc>
              <w:tc>
                <w:tcPr>
                  <w:tcW w:w="2444" w:type="dxa"/>
                  <w:vAlign w:val="center"/>
                </w:tcPr>
                <w:p>
                  <w:pPr>
                    <w:keepNext/>
                    <w:snapToGrid w:val="0"/>
                    <w:ind w:firstLine="420" w:firstLineChars="200"/>
                    <w:rPr>
                      <w:rFonts w:ascii="Times New Roman" w:hAnsi="Times New Roman" w:eastAsia="宋体" w:cs="Times New Roman"/>
                      <w:szCs w:val="21"/>
                    </w:rPr>
                  </w:pPr>
                  <w:r>
                    <w:rPr>
                      <w:rFonts w:ascii="Times New Roman" w:hAnsi="宋体" w:cs="Times New Roman"/>
                    </w:rPr>
                    <w:t>应急计划区</w:t>
                  </w:r>
                </w:p>
              </w:tc>
              <w:tc>
                <w:tcPr>
                  <w:tcW w:w="5889" w:type="dxa"/>
                  <w:vAlign w:val="center"/>
                </w:tcPr>
                <w:p>
                  <w:pPr>
                    <w:jc w:val="center"/>
                    <w:rPr>
                      <w:rFonts w:ascii="Times New Roman" w:hAnsi="Times New Roman" w:eastAsia="宋体" w:cs="Times New Roman"/>
                      <w:szCs w:val="21"/>
                    </w:rPr>
                  </w:pPr>
                  <w:r>
                    <w:rPr>
                      <w:rFonts w:hint="eastAsia" w:ascii="Times New Roman" w:hAnsi="宋体" w:cs="Times New Roman"/>
                    </w:rPr>
                    <w:t>危废暂存间、生产车间、</w:t>
                  </w:r>
                  <w:r>
                    <w:rPr>
                      <w:rFonts w:ascii="Times New Roman" w:hAnsi="宋体" w:cs="Times New Roman"/>
                    </w:rPr>
                    <w:t>环境保护目标</w:t>
                  </w:r>
                  <w:r>
                    <w:rPr>
                      <w:rFonts w:hint="eastAsia" w:ascii="Times New Roman" w:hAnsi="宋体" w:cs="Times New Roma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2</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应急组织机构、人员</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3</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预案分级响应条件</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4</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应急救援保障</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5</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报警、通讯联络方式</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6</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应急环境监测、抢险、救援及控制措施</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7</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应急检测、防护措施、清除措施和器材</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8</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人员紧急撤离、疏散，应急剂量控制、撤离组织计划</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9</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事故应急救援关闭程序与恢复措施</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10</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应急培训计划</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38" w:type="dxa"/>
                  <w:vAlign w:val="center"/>
                </w:tcPr>
                <w:p>
                  <w:pPr>
                    <w:jc w:val="center"/>
                    <w:rPr>
                      <w:rFonts w:ascii="Times New Roman" w:hAnsi="Times New Roman" w:eastAsia="宋体" w:cs="Times New Roman"/>
                      <w:szCs w:val="21"/>
                    </w:rPr>
                  </w:pPr>
                  <w:r>
                    <w:rPr>
                      <w:rFonts w:ascii="Times New Roman" w:hAnsi="Times New Roman" w:cs="Times New Roman"/>
                    </w:rPr>
                    <w:t>11</w:t>
                  </w:r>
                </w:p>
              </w:tc>
              <w:tc>
                <w:tcPr>
                  <w:tcW w:w="2444" w:type="dxa"/>
                  <w:vAlign w:val="center"/>
                </w:tcPr>
                <w:p>
                  <w:pPr>
                    <w:jc w:val="center"/>
                    <w:rPr>
                      <w:rFonts w:ascii="Times New Roman" w:hAnsi="Times New Roman" w:eastAsia="宋体" w:cs="Times New Roman"/>
                      <w:szCs w:val="21"/>
                    </w:rPr>
                  </w:pPr>
                  <w:r>
                    <w:rPr>
                      <w:rFonts w:ascii="Times New Roman" w:hAnsi="宋体" w:cs="Times New Roman"/>
                    </w:rPr>
                    <w:t>公众教育和信息</w:t>
                  </w:r>
                </w:p>
              </w:tc>
              <w:tc>
                <w:tcPr>
                  <w:tcW w:w="5889" w:type="dxa"/>
                  <w:vAlign w:val="center"/>
                </w:tcPr>
                <w:p>
                  <w:pPr>
                    <w:jc w:val="center"/>
                    <w:rPr>
                      <w:rFonts w:ascii="Times New Roman" w:hAnsi="Times New Roman" w:eastAsia="宋体" w:cs="Times New Roman"/>
                      <w:szCs w:val="21"/>
                    </w:rPr>
                  </w:pPr>
                  <w:r>
                    <w:rPr>
                      <w:rFonts w:ascii="Times New Roman" w:hAnsi="宋体" w:cs="Times New Roman"/>
                    </w:rPr>
                    <w:t>对工厂邻近地区开展公众教育、培训和发布有关信息</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（6）环境风险分析结论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包含两条生产线，一条石材加工生产线，一条为利用石材加工厂废边角料等废弃资源进行砂石料加工的生产线，项目原材料和产品中不涉及有毒、有害或易燃、易爆等危险化学品，本项目不涉及饮用水源保护区。只要平时重视生产管理，严格遵守有关规章制度，严格执行事故风险防范措施，避免失误操作，并备有应急救灾计划与物资，事故发生后立即启动应急预案，有组织地进行抗灾救灾和善后恢复、补偿工作，可以减缓项目对周围环境造成的危害和影响。</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本项目在落实环境风险有关规定，采取有针对性的风险防范措施及应急措施，并严格接受主管部门监管的前提下可将风险事故降至可控范围之内，项目拟采取的风险防范措施是切实、可行的。</w:t>
            </w:r>
          </w:p>
          <w:p>
            <w:pPr>
              <w:adjustRightInd w:val="0"/>
              <w:snapToGrid w:val="0"/>
              <w:spacing w:before="156" w:beforeLines="50" w:line="360" w:lineRule="auto"/>
              <w:jc w:val="center"/>
              <w:textAlignment w:val="baseline"/>
              <w:rPr>
                <w:rFonts w:cs="Times New Roman" w:asciiTheme="minorEastAsia" w:hAnsiTheme="minorEastAsia"/>
                <w:b/>
                <w:kern w:val="24"/>
                <w:szCs w:val="21"/>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24</w:t>
            </w:r>
            <w:r>
              <w:rPr>
                <w:rFonts w:ascii="Times New Roman" w:hAnsi="Times New Roman" w:cs="Times New Roman"/>
                <w:b/>
                <w:bCs/>
              </w:rPr>
              <w:fldChar w:fldCharType="end"/>
            </w:r>
            <w:r>
              <w:rPr>
                <w:rFonts w:hint="eastAsia" w:ascii="Times New Roman" w:hAnsi="Times New Roman" w:cs="Times New Roman"/>
                <w:b/>
                <w:bCs/>
              </w:rPr>
              <w:t xml:space="preserve">   </w:t>
            </w:r>
            <w:r>
              <w:rPr>
                <w:rFonts w:hint="eastAsia" w:cs="Times New Roman" w:asciiTheme="minorEastAsia" w:hAnsiTheme="minorEastAsia"/>
                <w:b/>
                <w:kern w:val="24"/>
                <w:szCs w:val="21"/>
              </w:rPr>
              <w:t>建设项目环境风险简单分析内容表</w:t>
            </w:r>
          </w:p>
          <w:tbl>
            <w:tblPr>
              <w:tblStyle w:val="25"/>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2"/>
              <w:gridCol w:w="1214"/>
              <w:gridCol w:w="1701"/>
              <w:gridCol w:w="1134"/>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建设项目名称</w:t>
                  </w:r>
                </w:p>
              </w:tc>
              <w:tc>
                <w:tcPr>
                  <w:tcW w:w="5889" w:type="dxa"/>
                  <w:gridSpan w:val="4"/>
                  <w:vAlign w:val="center"/>
                </w:tcPr>
                <w:p>
                  <w:pPr>
                    <w:jc w:val="center"/>
                    <w:rPr>
                      <w:rFonts w:ascii="Times New Roman" w:hAnsi="Times New Roman" w:eastAsia="宋体" w:cs="Times New Roman"/>
                      <w:bCs/>
                      <w:szCs w:val="21"/>
                    </w:rPr>
                  </w:pPr>
                  <w:r>
                    <w:rPr>
                      <w:rFonts w:hint="eastAsia" w:ascii="Times New Roman" w:hAnsi="宋体" w:cs="Times New Roman"/>
                      <w:bCs/>
                    </w:rPr>
                    <w:t>邵东县龙新石材厂石材加工和机制砂生产项目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建设地点</w:t>
                  </w:r>
                </w:p>
              </w:tc>
              <w:tc>
                <w:tcPr>
                  <w:tcW w:w="1214" w:type="dxa"/>
                  <w:vAlign w:val="center"/>
                </w:tcPr>
                <w:p>
                  <w:pPr>
                    <w:jc w:val="center"/>
                    <w:rPr>
                      <w:rFonts w:ascii="Times New Roman" w:hAnsi="宋体" w:cs="Times New Roman"/>
                      <w:bCs/>
                    </w:rPr>
                  </w:pPr>
                  <w:r>
                    <w:rPr>
                      <w:rFonts w:hint="eastAsia" w:ascii="Times New Roman" w:hAnsi="宋体" w:cs="Times New Roman"/>
                      <w:bCs/>
                    </w:rPr>
                    <w:t>（湖南）省</w:t>
                  </w:r>
                </w:p>
              </w:tc>
              <w:tc>
                <w:tcPr>
                  <w:tcW w:w="1701" w:type="dxa"/>
                  <w:vAlign w:val="center"/>
                </w:tcPr>
                <w:p>
                  <w:pPr>
                    <w:jc w:val="center"/>
                    <w:rPr>
                      <w:rFonts w:ascii="Times New Roman" w:hAnsi="宋体" w:cs="Times New Roman"/>
                      <w:bCs/>
                    </w:rPr>
                  </w:pPr>
                  <w:r>
                    <w:rPr>
                      <w:rFonts w:hint="eastAsia" w:ascii="Times New Roman" w:hAnsi="宋体" w:cs="Times New Roman"/>
                      <w:bCs/>
                    </w:rPr>
                    <w:t>（邵阳）市</w:t>
                  </w:r>
                </w:p>
              </w:tc>
              <w:tc>
                <w:tcPr>
                  <w:tcW w:w="2974" w:type="dxa"/>
                  <w:gridSpan w:val="2"/>
                  <w:vAlign w:val="center"/>
                </w:tcPr>
                <w:p>
                  <w:pPr>
                    <w:jc w:val="center"/>
                    <w:rPr>
                      <w:rFonts w:ascii="Times New Roman" w:hAnsi="宋体" w:cs="Times New Roman"/>
                      <w:bCs/>
                    </w:rPr>
                  </w:pPr>
                  <w:r>
                    <w:rPr>
                      <w:rFonts w:hint="eastAsia" w:ascii="Times New Roman" w:hAnsi="宋体" w:cs="Times New Roman"/>
                      <w:bCs/>
                    </w:rPr>
                    <w:t>邵东县火厂坪镇龙新村李家屋组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地理坐标</w:t>
                  </w:r>
                </w:p>
              </w:tc>
              <w:tc>
                <w:tcPr>
                  <w:tcW w:w="121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经度</w:t>
                  </w:r>
                </w:p>
              </w:tc>
              <w:tc>
                <w:tcPr>
                  <w:tcW w:w="17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E111°54′54.78″</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纬度</w:t>
                  </w:r>
                </w:p>
              </w:tc>
              <w:tc>
                <w:tcPr>
                  <w:tcW w:w="18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N29°10′09.45″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主要危险物质及分布</w:t>
                  </w:r>
                </w:p>
              </w:tc>
              <w:tc>
                <w:tcPr>
                  <w:tcW w:w="5889" w:type="dxa"/>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废机油，位于厂区南部的危废暂存间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环境影响途径及危害后果</w:t>
                  </w:r>
                </w:p>
              </w:tc>
              <w:tc>
                <w:tcPr>
                  <w:tcW w:w="5889" w:type="dxa"/>
                  <w:gridSpan w:val="4"/>
                  <w:vAlign w:val="center"/>
                </w:tcPr>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发生泄露，引起土壤、地表水和地下水污染。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风险防范措施要求</w:t>
                  </w:r>
                </w:p>
              </w:tc>
              <w:tc>
                <w:tcPr>
                  <w:tcW w:w="5889" w:type="dxa"/>
                  <w:gridSpan w:val="4"/>
                  <w:vAlign w:val="center"/>
                </w:tcPr>
                <w:p>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采用专用密闭容器贮存废机油，危废间采用防渗地面，并设置围堰。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82"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填表说明</w:t>
                  </w:r>
                </w:p>
              </w:tc>
              <w:tc>
                <w:tcPr>
                  <w:tcW w:w="5889" w:type="dxa"/>
                  <w:gridSpan w:val="4"/>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ind w:firstLine="361" w:firstLineChars="150"/>
              <w:rPr>
                <w:rFonts w:ascii="Times New Roman" w:hAnsi="Times New Roman" w:cs="Times New Roman"/>
                <w:b/>
                <w:sz w:val="24"/>
              </w:rPr>
            </w:pPr>
            <w:r>
              <w:rPr>
                <w:rFonts w:hint="eastAsia" w:ascii="Times New Roman" w:hAnsi="Times New Roman" w:cs="Times New Roman"/>
                <w:b/>
                <w:sz w:val="24"/>
              </w:rPr>
              <w:t>7.2.6 清洁生产分析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进行砂石料生产的建设项目，生产工艺成熟可靠，工艺流程简单。且本项目实现了经济运行的“低消耗、高利用、低废弃”，最大限度地利用进入系统的物质和能量，提高区域废弃资源利用率；最大限度地减少污染物的排放，提升经济运行的质量和效益，将经济活动对自然环境的破坏减少到最低程度。本项目对“三废”进行治理并达标排放。项目实现了资源的综合利用、减轻了环境污染，符合清洁生产原则。</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清洁生产建议：①选用能耗较低的设备，降低单位产品能耗；②加强机械设备的维护及保养，减少设备闲置时间，提高设备利用率。</w:t>
            </w:r>
          </w:p>
          <w:p>
            <w:pPr>
              <w:spacing w:line="360" w:lineRule="auto"/>
              <w:ind w:firstLine="361" w:firstLineChars="150"/>
              <w:rPr>
                <w:rFonts w:ascii="Times New Roman" w:hAnsi="Times New Roman" w:cs="Times New Roman"/>
                <w:b/>
                <w:sz w:val="24"/>
              </w:rPr>
            </w:pPr>
            <w:r>
              <w:rPr>
                <w:rFonts w:hint="eastAsia" w:ascii="Times New Roman" w:hAnsi="Times New Roman" w:cs="Times New Roman"/>
                <w:b/>
                <w:sz w:val="24"/>
              </w:rPr>
              <w:t>7.2.7项目符合性分析</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（1）产业政策和相关规范的符合性分析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与《产业结构调整指导目录》相符性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本项目为石材加工和利用石材加工产生的边角料等废弃资源进行砂石料生产的建设项目，对照根据国家发改委发布的《</w:t>
            </w:r>
            <w:r>
              <w:rPr>
                <w:rFonts w:ascii="Times New Roman" w:hAnsi="Times New Roman" w:cs="Times New Roman"/>
                <w:sz w:val="24"/>
              </w:rPr>
              <w:t>产业结构调整指导目录</w:t>
            </w:r>
            <w:r>
              <w:rPr>
                <w:rFonts w:hint="eastAsia" w:ascii="Times New Roman" w:hAnsi="Times New Roman" w:cs="Times New Roman"/>
                <w:sz w:val="24"/>
              </w:rPr>
              <w:t>》（2013年修正），本项目石材加工生产线不属于该目录中“鼓励类”、“限制类”或“淘汰类”，为允许建设项目；砂石生产线属于该目录中“第一类，鼓励类：十二、建材（11、废矿石、尾矿和建筑废弃物的综合利用）”类别；查阅国家发展改革委和商务部发布的《市场准入负面清单（2018年版）》（发改经体〔2018〕1892号），本项目不属于其中的禁止类项目。综上，本项目符合国家现行产业政策要求。</w:t>
            </w: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p>
          <w:p>
            <w:pPr>
              <w:spacing w:line="360" w:lineRule="auto"/>
              <w:ind w:firstLine="480" w:firstLineChars="200"/>
              <w:rPr>
                <w:rFonts w:ascii="Times New Roman" w:hAnsi="Times New Roman" w:cs="Times New Roman"/>
                <w:sz w:val="24"/>
              </w:rPr>
            </w:pPr>
            <w:r>
              <w:rPr>
                <w:rFonts w:hint="eastAsia" w:ascii="宋体" w:hAnsi="宋体" w:eastAsia="宋体" w:cs="宋体"/>
                <w:sz w:val="24"/>
              </w:rPr>
              <w:t xml:space="preserve">② </w:t>
            </w:r>
            <w:r>
              <w:rPr>
                <w:rFonts w:hint="eastAsia" w:ascii="Times New Roman" w:hAnsi="Times New Roman" w:cs="Times New Roman"/>
                <w:sz w:val="24"/>
              </w:rPr>
              <w:t>与《机制砂石骨料工厂设计规范》（GB 51186-2016）的符合性分析</w:t>
            </w:r>
          </w:p>
          <w:p>
            <w:pPr>
              <w:spacing w:line="360" w:lineRule="auto"/>
              <w:jc w:val="center"/>
              <w:rPr>
                <w:rFonts w:ascii="Times New Roman" w:hAnsi="Times New Roman" w:cs="Times New Roman"/>
                <w:b/>
                <w:sz w:val="24"/>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25</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与《机制砂石骨料工厂设计规范》（GB 51186-2016）相符性对比表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827"/>
              <w:gridCol w:w="269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Align w:val="center"/>
                </w:tcPr>
                <w:p>
                  <w:pPr>
                    <w:jc w:val="center"/>
                    <w:rPr>
                      <w:rFonts w:ascii="Times New Roman" w:hAnsi="Times New Roman" w:cs="Times New Roman"/>
                      <w:b/>
                    </w:rPr>
                  </w:pPr>
                  <w:r>
                    <w:rPr>
                      <w:rFonts w:ascii="Times New Roman" w:hAnsi="Times New Roman" w:cs="Times New Roman"/>
                      <w:b/>
                    </w:rPr>
                    <w:t>类别</w:t>
                  </w:r>
                </w:p>
              </w:tc>
              <w:tc>
                <w:tcPr>
                  <w:tcW w:w="3827" w:type="dxa"/>
                  <w:vAlign w:val="center"/>
                </w:tcPr>
                <w:p>
                  <w:pPr>
                    <w:jc w:val="center"/>
                    <w:rPr>
                      <w:rFonts w:ascii="Times New Roman" w:hAnsi="Times New Roman" w:cs="Times New Roman"/>
                      <w:b/>
                    </w:rPr>
                  </w:pPr>
                  <w:r>
                    <w:rPr>
                      <w:rFonts w:hint="eastAsia" w:ascii="Times New Roman" w:hAnsi="Times New Roman" w:cs="Times New Roman"/>
                      <w:b/>
                    </w:rPr>
                    <w:t>《机制砂石骨料工厂设计规范》</w:t>
                  </w:r>
                </w:p>
                <w:p>
                  <w:pPr>
                    <w:jc w:val="center"/>
                    <w:rPr>
                      <w:rFonts w:ascii="Times New Roman" w:hAnsi="Times New Roman" w:cs="Times New Roman"/>
                      <w:b/>
                    </w:rPr>
                  </w:pPr>
                  <w:r>
                    <w:rPr>
                      <w:rFonts w:hint="eastAsia" w:ascii="Times New Roman" w:hAnsi="Times New Roman" w:cs="Times New Roman"/>
                      <w:b/>
                    </w:rPr>
                    <w:t>（GB 51186-2016）</w:t>
                  </w:r>
                  <w:r>
                    <w:rPr>
                      <w:rFonts w:ascii="Times New Roman" w:hAnsi="Times New Roman" w:cs="Times New Roman"/>
                      <w:b/>
                    </w:rPr>
                    <w:t>相关要求</w:t>
                  </w:r>
                </w:p>
              </w:tc>
              <w:tc>
                <w:tcPr>
                  <w:tcW w:w="2694" w:type="dxa"/>
                  <w:vAlign w:val="center"/>
                </w:tcPr>
                <w:p>
                  <w:pPr>
                    <w:jc w:val="center"/>
                    <w:rPr>
                      <w:rFonts w:ascii="Times New Roman" w:hAnsi="Times New Roman" w:cs="Times New Roman"/>
                      <w:b/>
                    </w:rPr>
                  </w:pPr>
                  <w:r>
                    <w:rPr>
                      <w:rFonts w:ascii="Times New Roman" w:hAnsi="Times New Roman" w:cs="Times New Roman"/>
                      <w:b/>
                    </w:rPr>
                    <w:t>本项目或场地情况</w:t>
                  </w:r>
                </w:p>
              </w:tc>
              <w:tc>
                <w:tcPr>
                  <w:tcW w:w="1134" w:type="dxa"/>
                  <w:vAlign w:val="center"/>
                </w:tcPr>
                <w:p>
                  <w:pPr>
                    <w:jc w:val="center"/>
                    <w:rPr>
                      <w:rFonts w:ascii="Times New Roman" w:hAnsi="Times New Roman" w:cs="Times New Roman"/>
                      <w:b/>
                    </w:rPr>
                  </w:pPr>
                  <w:r>
                    <w:rPr>
                      <w:rFonts w:ascii="Times New Roman" w:hAnsi="Times New Roman" w:cs="Times New Roman"/>
                      <w:b/>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Align w:val="center"/>
                </w:tcPr>
                <w:p>
                  <w:pPr>
                    <w:jc w:val="center"/>
                    <w:rPr>
                      <w:rFonts w:ascii="Times New Roman" w:hAnsi="Times New Roman" w:cs="Times New Roman"/>
                    </w:rPr>
                  </w:pPr>
                  <w:r>
                    <w:rPr>
                      <w:rFonts w:hint="eastAsia" w:ascii="Times New Roman" w:hAnsi="Times New Roman" w:cs="Times New Roman"/>
                    </w:rPr>
                    <w:t>总图运输</w:t>
                  </w: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厂址选址应符合下列规定：</w:t>
                  </w:r>
                </w:p>
                <w:p>
                  <w:pPr>
                    <w:ind w:firstLine="420" w:firstLineChars="200"/>
                    <w:jc w:val="left"/>
                    <w:rPr>
                      <w:rFonts w:ascii="Times New Roman" w:hAnsi="Times New Roman" w:cs="Times New Roman"/>
                    </w:rPr>
                  </w:pPr>
                  <w:r>
                    <w:rPr>
                      <w:rFonts w:hint="eastAsia" w:ascii="Times New Roman" w:hAnsi="Times New Roman" w:cs="Times New Roman"/>
                    </w:rPr>
                    <w:t>（1）厂址选择应靠近资源所在地，并应远离居民区；</w:t>
                  </w:r>
                </w:p>
                <w:p>
                  <w:pPr>
                    <w:ind w:firstLine="420" w:firstLineChars="200"/>
                    <w:jc w:val="left"/>
                    <w:rPr>
                      <w:rFonts w:ascii="Times New Roman" w:hAnsi="Times New Roman" w:cs="Times New Roman"/>
                    </w:rPr>
                  </w:pPr>
                  <w:r>
                    <w:rPr>
                      <w:rFonts w:hint="eastAsia" w:ascii="Times New Roman" w:hAnsi="Times New Roman" w:cs="Times New Roman"/>
                    </w:rPr>
                    <w:t>（2）厂址应选择在工程地质和水文地质较好的地带；</w:t>
                  </w:r>
                </w:p>
                <w:p>
                  <w:pPr>
                    <w:ind w:firstLine="420" w:firstLineChars="200"/>
                    <w:jc w:val="left"/>
                    <w:rPr>
                      <w:rFonts w:ascii="Times New Roman" w:hAnsi="Times New Roman" w:cs="Times New Roman"/>
                    </w:rPr>
                  </w:pPr>
                  <w:r>
                    <w:rPr>
                      <w:rFonts w:hint="eastAsia" w:ascii="Times New Roman" w:hAnsi="Times New Roman" w:cs="Times New Roman"/>
                    </w:rPr>
                    <w:t>（3）厂址选择宜利用荒山地、山坡地，不占或少占农田、林地，不宜动迁村庄；</w:t>
                  </w:r>
                </w:p>
                <w:p>
                  <w:pPr>
                    <w:ind w:firstLine="420" w:firstLineChars="200"/>
                    <w:jc w:val="left"/>
                    <w:rPr>
                      <w:rFonts w:ascii="Times New Roman" w:hAnsi="Times New Roman" w:cs="Times New Roman"/>
                    </w:rPr>
                  </w:pPr>
                  <w:r>
                    <w:rPr>
                      <w:rFonts w:hint="eastAsia" w:ascii="Times New Roman" w:hAnsi="Times New Roman" w:cs="Times New Roman"/>
                    </w:rPr>
                    <w:t>（4）位于城镇周围的机制砂石骨料工厂，厂址应位于城镇和居住区全年最小频率风向的上风侧；</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（1）本项目原材料来自于邵东县及周边区域的采石场和石材加工厂，项目生产厂区远离居民聚集区。</w:t>
                  </w:r>
                </w:p>
                <w:p>
                  <w:pPr>
                    <w:ind w:firstLine="420" w:firstLineChars="200"/>
                    <w:jc w:val="left"/>
                    <w:rPr>
                      <w:rFonts w:ascii="Times New Roman" w:hAnsi="Times New Roman" w:cs="Times New Roman"/>
                    </w:rPr>
                  </w:pPr>
                  <w:r>
                    <w:rPr>
                      <w:rFonts w:hint="eastAsia" w:ascii="Times New Roman" w:hAnsi="Times New Roman" w:cs="Times New Roman"/>
                    </w:rPr>
                    <w:t>（2）本项目工程地质和水文地质较好。</w:t>
                  </w:r>
                </w:p>
                <w:p>
                  <w:pPr>
                    <w:ind w:firstLine="420" w:firstLineChars="200"/>
                    <w:jc w:val="left"/>
                    <w:rPr>
                      <w:rFonts w:ascii="Times New Roman" w:hAnsi="Times New Roman" w:cs="Times New Roman"/>
                    </w:rPr>
                  </w:pPr>
                  <w:r>
                    <w:rPr>
                      <w:rFonts w:hint="eastAsia" w:ascii="Times New Roman" w:hAnsi="Times New Roman" w:cs="Times New Roman"/>
                    </w:rPr>
                    <w:t>（3）本项目利用区域闲置土地进行生产，不占用农田和林地，无需对周边村庄进行搬迁。</w:t>
                  </w:r>
                </w:p>
                <w:p>
                  <w:pPr>
                    <w:ind w:firstLine="420" w:firstLineChars="200"/>
                    <w:jc w:val="left"/>
                    <w:rPr>
                      <w:rFonts w:ascii="Times New Roman" w:hAnsi="Times New Roman" w:cs="Times New Roman"/>
                    </w:rPr>
                  </w:pPr>
                  <w:r>
                    <w:rPr>
                      <w:rFonts w:hint="eastAsia" w:ascii="Times New Roman" w:hAnsi="Times New Roman" w:cs="Times New Roman"/>
                    </w:rPr>
                    <w:t>（4）本项目距离邵东县城约20km，距离火厂坪镇镇区约2km，所在区域常年主导风向为E，本项目所在地位于火厂坪镇镇区东南约2km处。</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Align w:val="center"/>
                </w:tcPr>
                <w:p>
                  <w:pPr>
                    <w:jc w:val="center"/>
                    <w:rPr>
                      <w:rFonts w:ascii="Times New Roman" w:hAnsi="Times New Roman" w:cs="Times New Roman"/>
                    </w:rPr>
                  </w:pPr>
                  <w:r>
                    <w:rPr>
                      <w:rFonts w:hint="eastAsia" w:ascii="Times New Roman" w:hAnsi="Times New Roman" w:cs="Times New Roman"/>
                    </w:rPr>
                    <w:t>生产工艺</w:t>
                  </w: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洗矿作业或湿式制砂作业的生产工艺设计，应利用回水。</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本项目无洗矿作业，并且采用干法制砂工艺，耗水量小。</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restart"/>
                  <w:vAlign w:val="center"/>
                </w:tcPr>
                <w:p>
                  <w:pPr>
                    <w:jc w:val="center"/>
                    <w:rPr>
                      <w:rFonts w:ascii="Times New Roman" w:hAnsi="Times New Roman" w:cs="Times New Roman"/>
                    </w:rPr>
                  </w:pPr>
                  <w:r>
                    <w:rPr>
                      <w:rFonts w:hint="eastAsia" w:ascii="Times New Roman" w:hAnsi="Times New Roman" w:cs="Times New Roman"/>
                    </w:rPr>
                    <w:t>环境保护</w:t>
                  </w: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机制砂石骨料生产线必须配有收尘系统。</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本项目砂石骨料生产线将配备粉尘收集和处置系统（布袋除尘系统）。</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粉尘污染防治应符合下列规定：</w:t>
                  </w:r>
                </w:p>
                <w:p>
                  <w:pPr>
                    <w:ind w:firstLine="420" w:firstLineChars="200"/>
                    <w:jc w:val="left"/>
                    <w:rPr>
                      <w:rFonts w:ascii="Times New Roman" w:hAnsi="Times New Roman" w:cs="Times New Roman"/>
                    </w:rPr>
                  </w:pPr>
                  <w:r>
                    <w:rPr>
                      <w:rFonts w:hint="eastAsia" w:ascii="Times New Roman" w:hAnsi="Times New Roman" w:cs="Times New Roman"/>
                    </w:rPr>
                    <w:t>（1）机制砂石骨料工厂应对破碎、筛分及输送等生产环节采取封闭措施；</w:t>
                  </w:r>
                </w:p>
                <w:p>
                  <w:pPr>
                    <w:ind w:firstLine="420" w:firstLineChars="200"/>
                    <w:jc w:val="left"/>
                    <w:rPr>
                      <w:rFonts w:ascii="Times New Roman" w:hAnsi="Times New Roman" w:cs="Times New Roman"/>
                    </w:rPr>
                  </w:pPr>
                  <w:r>
                    <w:rPr>
                      <w:rFonts w:hint="eastAsia" w:ascii="Times New Roman" w:hAnsi="Times New Roman" w:cs="Times New Roman"/>
                    </w:rPr>
                    <w:t>（2）机制砂石骨料工厂应对破碎、筛分及输送转运站等扬尘点设置收尘装置，粉尘排放浓度应符合现行国家标准《大气污染物综合排放标准》GB 16297的有关规定，并应满足厂区所在地区的环保要求；</w:t>
                  </w:r>
                </w:p>
                <w:p>
                  <w:pPr>
                    <w:ind w:firstLine="420" w:firstLineChars="200"/>
                    <w:jc w:val="left"/>
                    <w:rPr>
                      <w:rFonts w:ascii="Times New Roman" w:hAnsi="Times New Roman" w:cs="Times New Roman"/>
                    </w:rPr>
                  </w:pPr>
                  <w:r>
                    <w:rPr>
                      <w:rFonts w:hint="eastAsia" w:ascii="Times New Roman" w:hAnsi="Times New Roman" w:cs="Times New Roman"/>
                    </w:rPr>
                    <w:t>（3）对于无组织排放的扬尘场所，应采取喷雾、洒水、封闭等防尘措施。</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（1）本项目砂石骨料生产线采用喷雾、全封闭皮带运输等措施；破碎和筛分生产车间等区域实现全封闭，并安装自动喷雾装置进行降尘。</w:t>
                  </w:r>
                </w:p>
                <w:p>
                  <w:pPr>
                    <w:ind w:firstLine="420" w:firstLineChars="200"/>
                    <w:jc w:val="left"/>
                    <w:rPr>
                      <w:rFonts w:ascii="Times New Roman" w:hAnsi="Times New Roman" w:cs="Times New Roman"/>
                    </w:rPr>
                  </w:pPr>
                  <w:r>
                    <w:rPr>
                      <w:rFonts w:hint="eastAsia" w:ascii="Times New Roman" w:hAnsi="Times New Roman" w:cs="Times New Roman"/>
                    </w:rPr>
                    <w:t>（2）本项目砂石骨料生产线配套集尘系统和布袋除尘装置；根据工程分析，采取相应的除尘措施后，项目粉尘外排浓度可以满足《大气污染物综合排放标准》GB 16297的要求；</w:t>
                  </w:r>
                </w:p>
                <w:p>
                  <w:pPr>
                    <w:ind w:firstLine="420" w:firstLineChars="200"/>
                    <w:jc w:val="left"/>
                    <w:rPr>
                      <w:rFonts w:ascii="Times New Roman" w:hAnsi="Times New Roman" w:cs="Times New Roman"/>
                    </w:rPr>
                  </w:pPr>
                  <w:r>
                    <w:rPr>
                      <w:rFonts w:hint="eastAsia" w:ascii="Times New Roman" w:hAnsi="Times New Roman" w:cs="Times New Roman"/>
                    </w:rPr>
                    <w:t>（3）项目对于无组织排放的扬尘场所采取喷雾、封闭、道路硬化等防尘措施，确保粉尘达标排放。</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固体废弃物污染防治应符合下列规定：</w:t>
                  </w:r>
                </w:p>
                <w:p>
                  <w:pPr>
                    <w:ind w:firstLine="420" w:firstLineChars="200"/>
                    <w:jc w:val="left"/>
                    <w:rPr>
                      <w:rFonts w:ascii="Times New Roman" w:hAnsi="Times New Roman" w:cs="Times New Roman"/>
                    </w:rPr>
                  </w:pPr>
                  <w:r>
                    <w:rPr>
                      <w:rFonts w:hint="eastAsia" w:ascii="Times New Roman" w:hAnsi="Times New Roman" w:cs="Times New Roman"/>
                    </w:rPr>
                    <w:t>（1）收尘设备收下的粉尘经处理后应运到固定地点堆放，并应采取防止二次污染的措施；</w:t>
                  </w:r>
                </w:p>
                <w:p>
                  <w:pPr>
                    <w:ind w:firstLine="420" w:firstLineChars="200"/>
                    <w:jc w:val="left"/>
                    <w:rPr>
                      <w:rFonts w:ascii="Times New Roman" w:hAnsi="Times New Roman" w:cs="Times New Roman"/>
                    </w:rPr>
                  </w:pPr>
                  <w:r>
                    <w:rPr>
                      <w:rFonts w:hint="eastAsia" w:ascii="Times New Roman" w:hAnsi="Times New Roman" w:cs="Times New Roman"/>
                    </w:rPr>
                    <w:t>（2）固体废弃物宜综合利用。</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（1）项目除尘器收集的粉尘主要成分为石粉，可作为产品外售。</w:t>
                  </w:r>
                </w:p>
                <w:p>
                  <w:pPr>
                    <w:ind w:firstLine="420" w:firstLineChars="200"/>
                    <w:jc w:val="left"/>
                    <w:rPr>
                      <w:rFonts w:ascii="Times New Roman" w:hAnsi="Times New Roman" w:cs="Times New Roman"/>
                    </w:rPr>
                  </w:pPr>
                  <w:r>
                    <w:rPr>
                      <w:rFonts w:hint="eastAsia" w:ascii="Times New Roman" w:hAnsi="Times New Roman" w:cs="Times New Roman"/>
                    </w:rPr>
                    <w:t>（2）项目生活垃圾经收集后委托环卫部门统一处置；危险废物交由有资质单位处置。项目营运期各固废均能得到合理处置。</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废水污染防治应符合下列规定：</w:t>
                  </w:r>
                </w:p>
                <w:p>
                  <w:pPr>
                    <w:ind w:firstLine="420" w:firstLineChars="200"/>
                    <w:jc w:val="left"/>
                    <w:rPr>
                      <w:rFonts w:ascii="Times New Roman" w:hAnsi="Times New Roman" w:cs="Times New Roman"/>
                    </w:rPr>
                  </w:pPr>
                  <w:r>
                    <w:rPr>
                      <w:rFonts w:hint="eastAsia" w:ascii="Times New Roman" w:hAnsi="Times New Roman" w:cs="Times New Roman"/>
                    </w:rPr>
                    <w:t>（1）生产排水、雨水和生活污水，应清污分流；</w:t>
                  </w:r>
                </w:p>
                <w:p>
                  <w:pPr>
                    <w:ind w:firstLine="420" w:firstLineChars="200"/>
                    <w:jc w:val="left"/>
                    <w:rPr>
                      <w:rFonts w:ascii="Times New Roman" w:hAnsi="Times New Roman" w:cs="Times New Roman"/>
                    </w:rPr>
                  </w:pPr>
                  <w:r>
                    <w:rPr>
                      <w:rFonts w:hint="eastAsia" w:ascii="Times New Roman" w:hAnsi="Times New Roman" w:cs="Times New Roman"/>
                    </w:rPr>
                    <w:t>（2）污水排放标准应符合现行国家标准《污水综合排放标准》GB 8978的有关规定；</w:t>
                  </w:r>
                </w:p>
                <w:p>
                  <w:pPr>
                    <w:ind w:firstLine="420" w:firstLineChars="200"/>
                    <w:jc w:val="left"/>
                    <w:rPr>
                      <w:rFonts w:ascii="Times New Roman" w:hAnsi="Times New Roman" w:cs="Times New Roman"/>
                    </w:rPr>
                  </w:pPr>
                  <w:r>
                    <w:rPr>
                      <w:rFonts w:hint="eastAsia" w:ascii="Times New Roman" w:hAnsi="Times New Roman" w:cs="Times New Roman"/>
                    </w:rPr>
                    <w:t>（3）生产废水应经自然沉淀或机械脱水，固液分离后的清水应回用于生产系统。</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（1）本项目抑尘废水全部蒸发和随产品带走损失，车辆冲洗废水等经沉淀池处理后回用于生产；生活污水经化粪池处理后用作农肥，不外排。各废水清污分流。</w:t>
                  </w:r>
                </w:p>
                <w:p>
                  <w:pPr>
                    <w:ind w:firstLine="420" w:firstLineChars="200"/>
                    <w:jc w:val="left"/>
                    <w:rPr>
                      <w:rFonts w:ascii="Times New Roman" w:hAnsi="Times New Roman" w:cs="Times New Roman"/>
                    </w:rPr>
                  </w:pPr>
                  <w:r>
                    <w:rPr>
                      <w:rFonts w:hint="eastAsia" w:ascii="Times New Roman" w:hAnsi="Times New Roman" w:cs="Times New Roman"/>
                    </w:rPr>
                    <w:t>（2）根据工程分析，本项目生产废水和生活污水不外排。</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噪声污染防治应符合下列规定：</w:t>
                  </w:r>
                </w:p>
                <w:p>
                  <w:pPr>
                    <w:ind w:firstLine="420" w:firstLineChars="200"/>
                    <w:jc w:val="left"/>
                    <w:rPr>
                      <w:rFonts w:ascii="Times New Roman" w:hAnsi="Times New Roman" w:cs="Times New Roman"/>
                    </w:rPr>
                  </w:pPr>
                  <w:r>
                    <w:rPr>
                      <w:rFonts w:hint="eastAsia" w:ascii="Times New Roman" w:hAnsi="Times New Roman" w:cs="Times New Roman"/>
                    </w:rPr>
                    <w:t>（1）厂内各类地点噪声限值应符合现行国家标准《工业企业噪声控制设计规范》GB/T 50087的有关规定；</w:t>
                  </w:r>
                </w:p>
                <w:p>
                  <w:pPr>
                    <w:ind w:firstLine="420" w:firstLineChars="200"/>
                    <w:jc w:val="left"/>
                    <w:rPr>
                      <w:rFonts w:ascii="Times New Roman" w:hAnsi="Times New Roman" w:cs="Times New Roman"/>
                    </w:rPr>
                  </w:pPr>
                  <w:r>
                    <w:rPr>
                      <w:rFonts w:hint="eastAsia" w:ascii="Times New Roman" w:hAnsi="Times New Roman" w:cs="Times New Roman"/>
                    </w:rPr>
                    <w:t>（2）工厂厂界噪声限值应符合现行国家标准《工业企业厂界环境噪声排放标准》GB 12348的有关规定；</w:t>
                  </w:r>
                </w:p>
                <w:p>
                  <w:pPr>
                    <w:ind w:firstLine="420" w:firstLineChars="200"/>
                    <w:jc w:val="left"/>
                    <w:rPr>
                      <w:rFonts w:ascii="Times New Roman" w:hAnsi="Times New Roman" w:cs="Times New Roman"/>
                    </w:rPr>
                  </w:pPr>
                  <w:r>
                    <w:rPr>
                      <w:rFonts w:hint="eastAsia" w:ascii="Times New Roman" w:hAnsi="Times New Roman" w:cs="Times New Roman"/>
                    </w:rPr>
                    <w:t>（3）设备选型时应选用低噪声生产设备，工艺布置应采取控制噪声传播的措施；</w:t>
                  </w:r>
                </w:p>
                <w:p>
                  <w:pPr>
                    <w:ind w:firstLine="420" w:firstLineChars="200"/>
                    <w:jc w:val="left"/>
                    <w:rPr>
                      <w:rFonts w:ascii="Times New Roman" w:hAnsi="Times New Roman" w:cs="Times New Roman"/>
                    </w:rPr>
                  </w:pPr>
                  <w:r>
                    <w:rPr>
                      <w:rFonts w:hint="eastAsia" w:ascii="Times New Roman" w:hAnsi="Times New Roman" w:cs="Times New Roman"/>
                    </w:rPr>
                    <w:t>（4）高噪强振的设备，应采取消声、减振措施；</w:t>
                  </w:r>
                </w:p>
                <w:p>
                  <w:pPr>
                    <w:ind w:firstLine="420" w:firstLineChars="200"/>
                    <w:jc w:val="left"/>
                    <w:rPr>
                      <w:rFonts w:ascii="Times New Roman" w:hAnsi="Times New Roman" w:cs="Times New Roman"/>
                    </w:rPr>
                  </w:pPr>
                  <w:r>
                    <w:rPr>
                      <w:rFonts w:hint="eastAsia" w:ascii="Times New Roman" w:hAnsi="Times New Roman" w:cs="Times New Roman"/>
                    </w:rPr>
                    <w:t>（5）高强噪声源车间，应采取隔声围护结构等措施。</w:t>
                  </w:r>
                </w:p>
              </w:tc>
              <w:tc>
                <w:tcPr>
                  <w:tcW w:w="2694"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（1）本项目拟按照《工业企业噪声控制设计规范》GB/T 50087等规范要求对厂房进行设计和施工；</w:t>
                  </w:r>
                </w:p>
                <w:p>
                  <w:pPr>
                    <w:ind w:firstLine="420" w:firstLineChars="200"/>
                    <w:jc w:val="left"/>
                    <w:rPr>
                      <w:rFonts w:ascii="Times New Roman" w:hAnsi="Times New Roman" w:cs="Times New Roman"/>
                    </w:rPr>
                  </w:pPr>
                  <w:r>
                    <w:rPr>
                      <w:rFonts w:hint="eastAsia" w:ascii="Times New Roman" w:hAnsi="Times New Roman" w:cs="Times New Roman"/>
                    </w:rPr>
                    <w:t>（2）根据工程分析，采取本环评提出的减振降噪措施后，本项目外排噪声可以达到《工业企业厂界环境噪声排放标准》GB12348要求。</w:t>
                  </w:r>
                </w:p>
                <w:p>
                  <w:pPr>
                    <w:ind w:firstLine="420" w:firstLineChars="200"/>
                    <w:jc w:val="left"/>
                    <w:rPr>
                      <w:rFonts w:ascii="Times New Roman" w:hAnsi="Times New Roman" w:cs="Times New Roman"/>
                    </w:rPr>
                  </w:pPr>
                  <w:r>
                    <w:rPr>
                      <w:rFonts w:hint="eastAsia" w:ascii="Times New Roman" w:hAnsi="Times New Roman" w:cs="Times New Roman"/>
                    </w:rPr>
                    <w:t>（3）本项目选用低噪声设备，并将设备布置在车间内，降低噪声影响。</w:t>
                  </w:r>
                </w:p>
                <w:p>
                  <w:pPr>
                    <w:ind w:firstLine="420" w:firstLineChars="200"/>
                    <w:jc w:val="left"/>
                    <w:rPr>
                      <w:rFonts w:ascii="Times New Roman" w:hAnsi="Times New Roman" w:cs="Times New Roman"/>
                    </w:rPr>
                  </w:pPr>
                  <w:r>
                    <w:rPr>
                      <w:rFonts w:hint="eastAsia" w:ascii="Times New Roman" w:hAnsi="Times New Roman" w:cs="Times New Roman"/>
                    </w:rPr>
                    <w:t>（4）本项目采取密闭高噪设备和安装减震垫等措施降低设备噪声影响。</w:t>
                  </w:r>
                </w:p>
                <w:p>
                  <w:pPr>
                    <w:ind w:firstLine="420" w:firstLineChars="200"/>
                    <w:jc w:val="left"/>
                    <w:rPr>
                      <w:rFonts w:ascii="Times New Roman" w:hAnsi="Times New Roman" w:cs="Times New Roman"/>
                    </w:rPr>
                  </w:pPr>
                  <w:r>
                    <w:rPr>
                      <w:rFonts w:hint="eastAsia" w:ascii="Times New Roman" w:hAnsi="Times New Roman" w:cs="Times New Roman"/>
                    </w:rPr>
                    <w:t>（5）项目拟对加工车间采取隔声措施。</w:t>
                  </w:r>
                </w:p>
              </w:tc>
              <w:tc>
                <w:tcPr>
                  <w:tcW w:w="1134" w:type="dxa"/>
                  <w:vAlign w:val="center"/>
                </w:tcPr>
                <w:p>
                  <w:pPr>
                    <w:jc w:val="center"/>
                    <w:rPr>
                      <w:rFonts w:ascii="Times New Roman" w:hAnsi="Times New Roman" w:cs="Times New Roman"/>
                    </w:rPr>
                  </w:pPr>
                  <w:r>
                    <w:rPr>
                      <w:rFonts w:ascii="Times New Roman" w:hAnsi="Times New Roman" w:cs="Times New Roman"/>
                    </w:rPr>
                    <w:t>满足要求</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与《湖南省砂石骨料行业规范条件（2017本）》符合性分析</w:t>
            </w:r>
          </w:p>
          <w:p>
            <w:pPr>
              <w:spacing w:line="360" w:lineRule="auto"/>
              <w:jc w:val="center"/>
              <w:rPr>
                <w:rFonts w:ascii="Times New Roman" w:hAnsi="Times New Roman" w:cs="Times New Roman"/>
                <w:b/>
                <w:sz w:val="24"/>
              </w:rPr>
            </w:pPr>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26</w:t>
            </w:r>
            <w:r>
              <w:rPr>
                <w:rFonts w:ascii="Times New Roman" w:hAnsi="Times New Roman" w:cs="Times New Roman"/>
                <w:b/>
                <w:bCs/>
              </w:rPr>
              <w:fldChar w:fldCharType="end"/>
            </w:r>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与《湖南省砂石骨料行业规范条件（2017本）》相符性对比表</w:t>
            </w:r>
          </w:p>
          <w:tbl>
            <w:tblPr>
              <w:tblStyle w:val="2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827"/>
              <w:gridCol w:w="255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Align w:val="center"/>
                </w:tcPr>
                <w:p>
                  <w:pPr>
                    <w:jc w:val="center"/>
                    <w:rPr>
                      <w:rFonts w:ascii="Times New Roman" w:hAnsi="Times New Roman" w:cs="Times New Roman"/>
                      <w:b/>
                    </w:rPr>
                  </w:pPr>
                  <w:r>
                    <w:rPr>
                      <w:rFonts w:ascii="Times New Roman" w:hAnsi="Times New Roman" w:cs="Times New Roman"/>
                      <w:b/>
                    </w:rPr>
                    <w:t>类别</w:t>
                  </w:r>
                </w:p>
              </w:tc>
              <w:tc>
                <w:tcPr>
                  <w:tcW w:w="3827" w:type="dxa"/>
                  <w:vAlign w:val="center"/>
                </w:tcPr>
                <w:p>
                  <w:pPr>
                    <w:jc w:val="center"/>
                    <w:rPr>
                      <w:rFonts w:ascii="Times New Roman" w:hAnsi="Times New Roman" w:cs="Times New Roman"/>
                      <w:b/>
                    </w:rPr>
                  </w:pPr>
                  <w:r>
                    <w:rPr>
                      <w:rFonts w:ascii="Times New Roman" w:hAnsi="Times New Roman" w:cs="Times New Roman"/>
                      <w:b/>
                    </w:rPr>
                    <w:t>《湖南省砂石骨料行业规范条件（2017本）》相关要求</w:t>
                  </w:r>
                </w:p>
              </w:tc>
              <w:tc>
                <w:tcPr>
                  <w:tcW w:w="2552" w:type="dxa"/>
                  <w:vAlign w:val="center"/>
                </w:tcPr>
                <w:p>
                  <w:pPr>
                    <w:jc w:val="center"/>
                    <w:rPr>
                      <w:rFonts w:ascii="Times New Roman" w:hAnsi="Times New Roman" w:cs="Times New Roman"/>
                      <w:b/>
                    </w:rPr>
                  </w:pPr>
                  <w:r>
                    <w:rPr>
                      <w:rFonts w:ascii="Times New Roman" w:hAnsi="Times New Roman" w:cs="Times New Roman"/>
                      <w:b/>
                    </w:rPr>
                    <w:t>本项目或场地情况</w:t>
                  </w:r>
                </w:p>
              </w:tc>
              <w:tc>
                <w:tcPr>
                  <w:tcW w:w="1276" w:type="dxa"/>
                  <w:vAlign w:val="center"/>
                </w:tcPr>
                <w:p>
                  <w:pPr>
                    <w:jc w:val="center"/>
                    <w:rPr>
                      <w:rFonts w:ascii="Times New Roman" w:hAnsi="Times New Roman" w:cs="Times New Roman"/>
                      <w:b/>
                    </w:rPr>
                  </w:pPr>
                  <w:r>
                    <w:rPr>
                      <w:rFonts w:ascii="Times New Roman" w:hAnsi="Times New Roman" w:cs="Times New Roman"/>
                      <w:b/>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restart"/>
                  <w:vAlign w:val="center"/>
                </w:tcPr>
                <w:p>
                  <w:pPr>
                    <w:jc w:val="center"/>
                    <w:rPr>
                      <w:rFonts w:ascii="Times New Roman" w:hAnsi="Times New Roman" w:cs="Times New Roman"/>
                    </w:rPr>
                  </w:pPr>
                  <w:r>
                    <w:rPr>
                      <w:rFonts w:ascii="Times New Roman" w:hAnsi="Times New Roman" w:cs="Times New Roman"/>
                    </w:rPr>
                    <w:t>规划布局和建设要求</w:t>
                  </w: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（一）新建、改扩建机制砂石骨料项目应符合国家产业政策和当地产业、矿产资源及土地利用总体规划等要求，统筹资源、环境、物流和市场等因素合理布局</w:t>
                  </w:r>
                  <w:r>
                    <w:rPr>
                      <w:rFonts w:hint="eastAsia" w:ascii="Times New Roman" w:hAnsi="Times New Roman" w:cs="Times New Roman"/>
                    </w:rPr>
                    <w:t>，</w:t>
                  </w:r>
                  <w:r>
                    <w:rPr>
                      <w:rFonts w:ascii="Times New Roman" w:hAnsi="Times New Roman" w:cs="Times New Roman"/>
                    </w:rPr>
                    <w:t>推动产业规模化、集约化、基地化发展。</w:t>
                  </w:r>
                </w:p>
              </w:tc>
              <w:tc>
                <w:tcPr>
                  <w:tcW w:w="2552" w:type="dxa"/>
                  <w:vAlign w:val="center"/>
                </w:tcPr>
                <w:p>
                  <w:pPr>
                    <w:ind w:firstLine="420" w:firstLineChars="200"/>
                    <w:jc w:val="left"/>
                    <w:rPr>
                      <w:rFonts w:ascii="Times New Roman" w:hAnsi="Times New Roman" w:cs="Times New Roman"/>
                    </w:rPr>
                  </w:pPr>
                  <w:r>
                    <w:rPr>
                      <w:rFonts w:ascii="Times New Roman" w:hAnsi="Times New Roman" w:cs="Times New Roman"/>
                    </w:rPr>
                    <w:t>本项目为</w:t>
                  </w:r>
                  <w:r>
                    <w:rPr>
                      <w:rFonts w:hint="eastAsia" w:ascii="Times New Roman" w:hAnsi="Times New Roman" w:cs="Times New Roman"/>
                    </w:rPr>
                    <w:t>新建</w:t>
                  </w:r>
                  <w:r>
                    <w:rPr>
                      <w:rFonts w:ascii="Times New Roman" w:hAnsi="Times New Roman" w:cs="Times New Roman"/>
                    </w:rPr>
                    <w:t>项目，符合国家产业政策和当地产业、土地利用总体规划等要求。</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二）机制砂石骨料矿山企业须取得矿山资源储量报告、矿产开发利用方案、采矿许可证、矿山地质环境综合防治方案、水土保持方案、环境影响评价报告、安全生产许可证和安全预评价报告等相关证照或审批文件。天然砂石骨料企业还须取得河道采砂许可证等审批文件。</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本项目利用自身石材加工生产线及周边石材加工厂的废弃石料等废弃资源进行砂石生产，建设单位不进行矿山开采和河道采砂作业。</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三）新建机制砂石骨料项目宜选择资源或接近矿山资源所在地，远离居民区。严禁在风景名胜区、地质公园、生态保护区、自然和文化遗产保护区、饮用水源保护区、城市建成区等区域新建和扩建机制砂石骨料项目。严禁布置在矿山爆破安全危险区范围内</w:t>
                  </w:r>
                  <w:r>
                    <w:rPr>
                      <w:rFonts w:hint="eastAsia" w:ascii="Times New Roman" w:hAnsi="Times New Roman" w:cs="Times New Roman"/>
                    </w:rPr>
                    <w:t>，</w:t>
                  </w:r>
                  <w:r>
                    <w:rPr>
                      <w:rFonts w:ascii="Times New Roman" w:hAnsi="Times New Roman" w:cs="Times New Roman"/>
                    </w:rPr>
                    <w:t>已建成的项目应按照相关规划和规定进行处置。</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本项目利用自身石材加工生产线及周边石材加工厂的废弃石料等废弃资源进行砂石生产，所在地资源丰富</w:t>
                  </w:r>
                  <w:r>
                    <w:rPr>
                      <w:rFonts w:ascii="Times New Roman" w:hAnsi="Times New Roman" w:cs="Times New Roman"/>
                    </w:rPr>
                    <w:t>。</w:t>
                  </w:r>
                  <w:r>
                    <w:rPr>
                      <w:rFonts w:hint="eastAsia" w:ascii="Times New Roman" w:hAnsi="Times New Roman" w:cs="Times New Roman"/>
                    </w:rPr>
                    <w:t>项目位于邵东县火厂坪镇龙新村，远离居民区，</w:t>
                  </w:r>
                  <w:r>
                    <w:rPr>
                      <w:rFonts w:ascii="Times New Roman" w:hAnsi="Times New Roman" w:cs="Times New Roman"/>
                    </w:rPr>
                    <w:t>不在风景名胜区、地质公园、生态保护区、自然和文化遗产保护区、饮用水源保护区、城市建成区等区域范围内。</w:t>
                  </w:r>
                </w:p>
              </w:tc>
              <w:tc>
                <w:tcPr>
                  <w:tcW w:w="1276" w:type="dxa"/>
                  <w:vAlign w:val="center"/>
                </w:tcPr>
                <w:p>
                  <w:pPr>
                    <w:jc w:val="center"/>
                    <w:rPr>
                      <w:rFonts w:ascii="Times New Roman" w:hAnsi="Times New Roman" w:cs="Times New Roman"/>
                    </w:rPr>
                  </w:pPr>
                  <w:r>
                    <w:rPr>
                      <w:rFonts w:hint="eastAsia" w:ascii="Times New Roman" w:hAnsi="Times New Roman" w:cs="Times New Roman"/>
                    </w:rPr>
                    <w:t>基本</w:t>
                  </w: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restart"/>
                  <w:vAlign w:val="center"/>
                </w:tcPr>
                <w:p>
                  <w:pPr>
                    <w:jc w:val="center"/>
                    <w:rPr>
                      <w:rFonts w:ascii="Times New Roman" w:hAnsi="Times New Roman" w:cs="Times New Roman"/>
                    </w:rPr>
                  </w:pPr>
                  <w:r>
                    <w:rPr>
                      <w:rFonts w:ascii="Times New Roman" w:hAnsi="Times New Roman" w:cs="Times New Roman"/>
                    </w:rPr>
                    <w:t>工艺与装备</w:t>
                  </w: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（一）生产规模</w:t>
                  </w:r>
                </w:p>
                <w:p>
                  <w:pPr>
                    <w:ind w:firstLine="420" w:firstLineChars="200"/>
                    <w:jc w:val="left"/>
                    <w:rPr>
                      <w:rFonts w:ascii="Times New Roman" w:hAnsi="Times New Roman" w:cs="Times New Roman"/>
                    </w:rPr>
                  </w:pPr>
                  <w:r>
                    <w:rPr>
                      <w:rFonts w:ascii="Times New Roman" w:hAnsi="Times New Roman" w:cs="Times New Roman"/>
                    </w:rPr>
                    <w:t>新建、改建机制砂石骨料项目生产规模不低于60万t/年；对综合利用尾矿、废石、工业和建筑等废弃物生产砂石骨料，其生产规模可适当放宽。新建项目其矿山资源储量服务年限应不低于10年。</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本项目利用石材加工厂废边角料等废弃资源进行砂石生产，不进行矿山开采作业。</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w:t>
                  </w:r>
                  <w:r>
                    <w:rPr>
                      <w:rFonts w:hint="eastAsia" w:ascii="Times New Roman" w:hAnsi="Times New Roman" w:cs="Times New Roman"/>
                    </w:rPr>
                    <w:t>二</w:t>
                  </w:r>
                  <w:r>
                    <w:rPr>
                      <w:rFonts w:ascii="Times New Roman" w:hAnsi="Times New Roman" w:cs="Times New Roman"/>
                    </w:rPr>
                    <w:t>）节能降耗</w:t>
                  </w:r>
                </w:p>
                <w:p>
                  <w:pPr>
                    <w:ind w:firstLine="420" w:firstLineChars="200"/>
                    <w:jc w:val="left"/>
                    <w:rPr>
                      <w:rFonts w:ascii="Times New Roman" w:hAnsi="Times New Roman" w:cs="Times New Roman"/>
                    </w:rPr>
                  </w:pPr>
                  <w:r>
                    <w:rPr>
                      <w:rFonts w:ascii="Times New Roman" w:hAnsi="Times New Roman" w:cs="Times New Roman"/>
                    </w:rPr>
                    <w:t>生产设备的配置应与砂石骨料工厂的生产规模相适应，满足砂石骨料生产工艺要求</w:t>
                  </w:r>
                  <w:r>
                    <w:rPr>
                      <w:rFonts w:hint="eastAsia" w:ascii="Times New Roman" w:hAnsi="Times New Roman" w:cs="Times New Roman"/>
                    </w:rPr>
                    <w:t>，</w:t>
                  </w:r>
                  <w:r>
                    <w:rPr>
                      <w:rFonts w:ascii="Times New Roman" w:hAnsi="Times New Roman" w:cs="Times New Roman"/>
                    </w:rPr>
                    <w:t>优选大型设备，减少设备台数,降低总装机功率。物料输送应采用带式输送机。</w:t>
                  </w:r>
                </w:p>
              </w:tc>
              <w:tc>
                <w:tcPr>
                  <w:tcW w:w="2552" w:type="dxa"/>
                  <w:vAlign w:val="center"/>
                </w:tcPr>
                <w:p>
                  <w:pPr>
                    <w:ind w:firstLine="420" w:firstLineChars="200"/>
                    <w:jc w:val="left"/>
                    <w:rPr>
                      <w:rFonts w:ascii="Times New Roman" w:hAnsi="Times New Roman" w:cs="Times New Roman"/>
                    </w:rPr>
                  </w:pPr>
                  <w:r>
                    <w:rPr>
                      <w:rFonts w:ascii="Times New Roman" w:hAnsi="Times New Roman" w:cs="Times New Roman"/>
                    </w:rPr>
                    <w:t>根据业主提供的资料，</w:t>
                  </w:r>
                  <w:r>
                    <w:rPr>
                      <w:rFonts w:hint="eastAsia" w:ascii="Times New Roman" w:hAnsi="Times New Roman" w:cs="Times New Roman"/>
                    </w:rPr>
                    <w:t>并查阅设备生产厂家提供的设备参数，本项目</w:t>
                  </w:r>
                  <w:r>
                    <w:rPr>
                      <w:rFonts w:ascii="Times New Roman" w:hAnsi="Times New Roman" w:cs="Times New Roman"/>
                    </w:rPr>
                    <w:t>设备</w:t>
                  </w:r>
                  <w:r>
                    <w:rPr>
                      <w:rFonts w:hint="eastAsia" w:ascii="Times New Roman" w:hAnsi="Times New Roman" w:cs="Times New Roman"/>
                    </w:rPr>
                    <w:t>处理能力满足生产规模（详见本报告</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REF _Ref494441480 \h</w:instrText>
                  </w:r>
                  <w:r>
                    <w:rPr>
                      <w:rFonts w:ascii="Times New Roman" w:hAnsi="Times New Roman" w:cs="Times New Roman"/>
                    </w:rPr>
                    <w:instrText xml:space="preserve">  \* MERGEFORMAT </w:instrText>
                  </w:r>
                  <w:r>
                    <w:rPr>
                      <w:rFonts w:ascii="Times New Roman" w:hAnsi="Times New Roman" w:cs="Times New Roman"/>
                    </w:rPr>
                    <w:fldChar w:fldCharType="separate"/>
                  </w:r>
                  <w:r>
                    <w:rPr>
                      <w:rFonts w:hint="eastAsia" w:ascii="Times New Roman" w:hAnsi="Times New Roman" w:cs="Times New Roman"/>
                    </w:rPr>
                    <w:t>表1-</w:t>
                  </w:r>
                  <w:r>
                    <w:rPr>
                      <w:rFonts w:ascii="Times New Roman" w:hAnsi="Times New Roman" w:cs="Times New Roman"/>
                    </w:rPr>
                    <w:t>3</w:t>
                  </w:r>
                  <w:r>
                    <w:rPr>
                      <w:rFonts w:ascii="Times New Roman" w:hAnsi="Times New Roman" w:cs="Times New Roman"/>
                    </w:rPr>
                    <w:fldChar w:fldCharType="end"/>
                  </w:r>
                  <w:r>
                    <w:rPr>
                      <w:rFonts w:hint="eastAsia" w:ascii="Times New Roman" w:hAnsi="Times New Roman" w:cs="Times New Roman"/>
                    </w:rPr>
                    <w:t>）要求，技术参数满足工艺要求。</w:t>
                  </w:r>
                </w:p>
                <w:p>
                  <w:pPr>
                    <w:ind w:firstLine="420" w:firstLineChars="200"/>
                    <w:jc w:val="left"/>
                    <w:rPr>
                      <w:rFonts w:ascii="Times New Roman" w:hAnsi="Times New Roman" w:cs="Times New Roman"/>
                    </w:rPr>
                  </w:pPr>
                  <w:r>
                    <w:rPr>
                      <w:rFonts w:hint="eastAsia" w:ascii="Times New Roman" w:hAnsi="Times New Roman" w:cs="Times New Roman"/>
                    </w:rPr>
                    <w:t>本项目砂石生产线物料输送采用带式输送机。</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restart"/>
                  <w:vAlign w:val="center"/>
                </w:tcPr>
                <w:p>
                  <w:pPr>
                    <w:jc w:val="center"/>
                    <w:rPr>
                      <w:rFonts w:ascii="Times New Roman" w:hAnsi="Times New Roman" w:cs="Times New Roman"/>
                    </w:rPr>
                  </w:pPr>
                  <w:r>
                    <w:rPr>
                      <w:rFonts w:ascii="Times New Roman" w:hAnsi="Times New Roman" w:cs="Times New Roman"/>
                    </w:rPr>
                    <w:t>环境保护与资源综合利用</w:t>
                  </w: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（一）环境保护</w:t>
                  </w:r>
                </w:p>
                <w:p>
                  <w:pPr>
                    <w:ind w:firstLine="420" w:firstLineChars="200"/>
                    <w:jc w:val="left"/>
                    <w:rPr>
                      <w:rFonts w:ascii="Times New Roman" w:hAnsi="Times New Roman" w:cs="Times New Roman"/>
                    </w:rPr>
                  </w:pPr>
                  <w:r>
                    <w:rPr>
                      <w:rFonts w:ascii="Times New Roman" w:hAnsi="Times New Roman" w:cs="Times New Roman"/>
                    </w:rPr>
                    <w:t>砂石骨料企业应制订相关环境保护管理体系文件和环境突发事件应急预案等。</w:t>
                  </w:r>
                </w:p>
                <w:p>
                  <w:pPr>
                    <w:ind w:firstLine="420" w:firstLineChars="200"/>
                    <w:jc w:val="left"/>
                    <w:rPr>
                      <w:rFonts w:ascii="Times New Roman" w:hAnsi="Times New Roman" w:cs="Times New Roman"/>
                    </w:rPr>
                  </w:pPr>
                  <w:r>
                    <w:rPr>
                      <w:rFonts w:ascii="Times New Roman" w:hAnsi="Times New Roman" w:cs="Times New Roman"/>
                    </w:rPr>
                    <w:t>机制砂石骨料生产线须配套收尘装置,采用喷雾、洒水、全封闭皮带运输等措施。破碎加工区、中间料库、成品库等区域实现厂房全封闭，污染物排放符合GB 16297《大气污染物综合排放标准》要求。矿山开采鼓励选用湿式凿岩工艺,若采用干法凿岩工艺，须加设除尘装置，作业场所应采用喷雾、洒水等措施。</w:t>
                  </w:r>
                </w:p>
                <w:p>
                  <w:pPr>
                    <w:ind w:firstLine="420" w:firstLineChars="200"/>
                    <w:jc w:val="left"/>
                    <w:rPr>
                      <w:rFonts w:ascii="Times New Roman" w:hAnsi="Times New Roman" w:cs="Times New Roman"/>
                    </w:rPr>
                  </w:pPr>
                  <w:r>
                    <w:rPr>
                      <w:rFonts w:ascii="Times New Roman" w:hAnsi="Times New Roman" w:cs="Times New Roman"/>
                    </w:rPr>
                    <w:t>机制砂石骨料生产线须配置消声、减振、隔振等设施,工厂噪声应符合GB 12348《工业企业厂界环境噪声排放标准》要求。厂区污水排放符合GB8978《污水综合排放标准》二级及以上要求,湿法生产线必须设置水处理循环系统。</w:t>
                  </w:r>
                </w:p>
                <w:p>
                  <w:pPr>
                    <w:ind w:firstLine="420" w:firstLineChars="200"/>
                    <w:jc w:val="left"/>
                    <w:rPr>
                      <w:rFonts w:ascii="Times New Roman" w:hAnsi="Times New Roman" w:cs="Times New Roman"/>
                    </w:rPr>
                  </w:pPr>
                  <w:r>
                    <w:rPr>
                      <w:rFonts w:ascii="Times New Roman" w:hAnsi="Times New Roman" w:cs="Times New Roman"/>
                    </w:rPr>
                    <w:t>公用工程、环境保护设计应符合GB 51186《机制砂石骨料工厂设计规范》等有关标准规定,配套建设的环境保护设施应与主体工程同时设计、同时施工、同时投入使用。</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本项目投产后将制订相关环境保护管理体系文件和环境突发事件应急预案等。</w:t>
                  </w:r>
                </w:p>
                <w:p>
                  <w:pPr>
                    <w:ind w:firstLine="420" w:firstLineChars="200"/>
                    <w:jc w:val="left"/>
                    <w:rPr>
                      <w:rFonts w:ascii="Times New Roman" w:hAnsi="Times New Roman" w:cs="Times New Roman"/>
                    </w:rPr>
                  </w:pPr>
                  <w:r>
                    <w:rPr>
                      <w:rFonts w:hint="eastAsia" w:ascii="Times New Roman" w:hAnsi="Times New Roman" w:cs="Times New Roman"/>
                    </w:rPr>
                    <w:t>项目拟按照本规范和环评报告要求采取相应的废水、废气和噪声污染防治措施，确保废水、废气和噪声达标排放。</w:t>
                  </w:r>
                </w:p>
                <w:p>
                  <w:pPr>
                    <w:ind w:firstLine="420" w:firstLineChars="200"/>
                    <w:jc w:val="left"/>
                    <w:rPr>
                      <w:rFonts w:ascii="Times New Roman" w:hAnsi="Times New Roman" w:cs="Times New Roman"/>
                    </w:rPr>
                  </w:pPr>
                  <w:r>
                    <w:rPr>
                      <w:rFonts w:hint="eastAsia" w:ascii="Times New Roman" w:hAnsi="Times New Roman" w:cs="Times New Roman"/>
                    </w:rPr>
                    <w:t>项目将严格执行环保三同时制度。</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（二）资源综合利用</w:t>
                  </w:r>
                </w:p>
                <w:p>
                  <w:pPr>
                    <w:ind w:firstLine="420" w:firstLineChars="200"/>
                    <w:jc w:val="left"/>
                    <w:rPr>
                      <w:rFonts w:ascii="Times New Roman" w:hAnsi="Times New Roman" w:cs="Times New Roman"/>
                    </w:rPr>
                  </w:pPr>
                  <w:r>
                    <w:rPr>
                      <w:rFonts w:ascii="Times New Roman" w:hAnsi="Times New Roman" w:cs="Times New Roman"/>
                    </w:rPr>
                    <w:t>砂石骨料生产线须配置废弃物综合利用及处置设施,矿山开采应选择资源节约型、环境友好型开发方式，最大限度减少对自然环境的破坏，符合区域生态建设要求。实现资源分级利用、优质优用和综合利用。鼓励企业利用尾矿、废石、工业和建筑垃圾开发生产满足相关要求的砂石骨料。</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本项目固体废物均能得到合理处置，建设单位不属于矿山企业，本项目为利用区域石材加工厂废弃边角料等固体废物进行砂石生产的项目。</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1" w:type="dxa"/>
                  <w:vMerge w:val="continue"/>
                  <w:vAlign w:val="center"/>
                </w:tcPr>
                <w:p>
                  <w:pPr>
                    <w:jc w:val="center"/>
                    <w:rPr>
                      <w:rFonts w:ascii="Times New Roman" w:hAnsi="Times New Roman" w:cs="Times New Roman"/>
                    </w:rPr>
                  </w:pPr>
                </w:p>
              </w:tc>
              <w:tc>
                <w:tcPr>
                  <w:tcW w:w="3827" w:type="dxa"/>
                  <w:vAlign w:val="center"/>
                </w:tcPr>
                <w:p>
                  <w:pPr>
                    <w:ind w:firstLine="420" w:firstLineChars="200"/>
                    <w:jc w:val="left"/>
                    <w:rPr>
                      <w:rFonts w:ascii="Times New Roman" w:hAnsi="Times New Roman" w:cs="Times New Roman"/>
                    </w:rPr>
                  </w:pPr>
                  <w:r>
                    <w:rPr>
                      <w:rFonts w:ascii="Times New Roman" w:hAnsi="Times New Roman" w:cs="Times New Roman"/>
                    </w:rPr>
                    <w:t>(三)环境恢复与复垦</w:t>
                  </w:r>
                </w:p>
                <w:p>
                  <w:pPr>
                    <w:ind w:firstLine="420" w:firstLineChars="200"/>
                    <w:jc w:val="left"/>
                    <w:rPr>
                      <w:rFonts w:ascii="Times New Roman" w:hAnsi="Times New Roman" w:cs="Times New Roman"/>
                    </w:rPr>
                  </w:pPr>
                  <w:r>
                    <w:rPr>
                      <w:rFonts w:ascii="Times New Roman" w:hAnsi="Times New Roman" w:cs="Times New Roman"/>
                    </w:rPr>
                    <w:t>做到“边开采、边治理”，及时修复、改善、美化采区地表景观。具备回填条件的露天采坑，在确保不产生二次污染的前提下，鼓励利用矿山固体废物进行回填。对于地下开采的矿山，采用适用的充填开采技术。</w:t>
                  </w:r>
                </w:p>
              </w:tc>
              <w:tc>
                <w:tcPr>
                  <w:tcW w:w="2552" w:type="dxa"/>
                  <w:vAlign w:val="center"/>
                </w:tcPr>
                <w:p>
                  <w:pPr>
                    <w:ind w:firstLine="420" w:firstLineChars="200"/>
                    <w:jc w:val="left"/>
                    <w:rPr>
                      <w:rFonts w:ascii="Times New Roman" w:hAnsi="Times New Roman" w:cs="Times New Roman"/>
                    </w:rPr>
                  </w:pPr>
                  <w:r>
                    <w:rPr>
                      <w:rFonts w:hint="eastAsia" w:ascii="Times New Roman" w:hAnsi="Times New Roman" w:cs="Times New Roman"/>
                    </w:rPr>
                    <w:t>建设单位不属于矿山企业，本项目为利用区域石材加工厂废弃边角料等固体废物进行砂石生产的项目，为鼓励性项目。</w:t>
                  </w:r>
                </w:p>
              </w:tc>
              <w:tc>
                <w:tcPr>
                  <w:tcW w:w="1276" w:type="dxa"/>
                  <w:vAlign w:val="center"/>
                </w:tcPr>
                <w:p>
                  <w:pPr>
                    <w:jc w:val="center"/>
                    <w:rPr>
                      <w:rFonts w:ascii="Times New Roman" w:hAnsi="Times New Roman" w:cs="Times New Roman"/>
                    </w:rPr>
                  </w:pPr>
                  <w:r>
                    <w:rPr>
                      <w:rFonts w:ascii="Times New Roman" w:hAnsi="Times New Roman" w:cs="Times New Roman"/>
                    </w:rPr>
                    <w:t>满足要求</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（2）“三线一单”符合性分析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十三五”环境影响评价改革实施方案》和《关于以改善环境质量为核心加强环境影响评价管理的通知》（环环评〔2016〕150号），要“切实加强环境影响评价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生态红线符合性分析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位于邵东县火厂坪镇龙新村，目前邵阳市和邵东县生态保护红线划定方案尚未对外公布，查阅生态环境部环境影响评价GIS服务平台相关资料和《湖南省生态保护红线》（湘政发〔2018〕20号），距离本项目较近的生态保护红线为“湘中衡阳盆地—祁邵丘陵区水土保持生态保护红线”中的“邵东县佘湖山风景名胜区”，位于本项目东南侧7km处。</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周边无饮用水源保护区、自然保护区、风景名胜区、森林公园等各级各类保护区域。从《生态保护红线划定指南》（环办生态[2017]48号）和《湖南省生态保护红线划定技术方案》（湖南省环境保护厅，2016年）等技术文件中生态保护红线的划分依据和原则判断，本项目不在生态保护红线范围内，符合生态红线管理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环境质量底线符合性分析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根据区域环境质量现状监测数据，目前项目所在区域声环境质量现状良好；所在区域（邵东县）2017年大气环境中除细颗粒物（PM</w:t>
            </w:r>
            <w:r>
              <w:rPr>
                <w:rFonts w:hint="eastAsia" w:ascii="Times New Roman" w:hAnsi="Times New Roman" w:cs="Times New Roman"/>
                <w:sz w:val="24"/>
                <w:vertAlign w:val="subscript"/>
              </w:rPr>
              <w:t>2.5</w:t>
            </w:r>
            <w:r>
              <w:rPr>
                <w:rFonts w:hint="eastAsia" w:ascii="Times New Roman" w:hAnsi="Times New Roman" w:cs="Times New Roman"/>
                <w:sz w:val="24"/>
              </w:rPr>
              <w:t>）和可吸入颗粒物（PM</w:t>
            </w:r>
            <w:r>
              <w:rPr>
                <w:rFonts w:hint="eastAsia" w:ascii="Times New Roman" w:hAnsi="Times New Roman" w:cs="Times New Roman"/>
                <w:sz w:val="24"/>
                <w:vertAlign w:val="subscript"/>
              </w:rPr>
              <w:t>10</w:t>
            </w:r>
            <w:r>
              <w:rPr>
                <w:rFonts w:hint="eastAsia" w:ascii="Times New Roman" w:hAnsi="Times New Roman" w:cs="Times New Roman"/>
                <w:sz w:val="24"/>
              </w:rPr>
              <w:t>）外，其余污染物均达到了《环境空气质量标准》（GB3095-2012）中的二级标准限值。</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根据邵东县政府网发布的环境质量公报，2017年邵阳市邵东县细颗粒物（PM</w:t>
            </w:r>
            <w:r>
              <w:rPr>
                <w:rFonts w:hint="eastAsia" w:ascii="Times New Roman" w:hAnsi="Times New Roman" w:cs="Times New Roman"/>
                <w:sz w:val="24"/>
                <w:vertAlign w:val="subscript"/>
              </w:rPr>
              <w:t>2.5</w:t>
            </w:r>
            <w:r>
              <w:rPr>
                <w:rFonts w:hint="eastAsia" w:ascii="Times New Roman" w:hAnsi="Times New Roman" w:cs="Times New Roman"/>
                <w:sz w:val="24"/>
              </w:rPr>
              <w:t>）和可吸入颗粒物（PM</w:t>
            </w:r>
            <w:r>
              <w:rPr>
                <w:rFonts w:hint="eastAsia" w:ascii="Times New Roman" w:hAnsi="Times New Roman" w:cs="Times New Roman"/>
                <w:sz w:val="24"/>
                <w:vertAlign w:val="subscript"/>
              </w:rPr>
              <w:t>10</w:t>
            </w:r>
            <w:r>
              <w:rPr>
                <w:rFonts w:hint="eastAsia" w:ascii="Times New Roman" w:hAnsi="Times New Roman" w:cs="Times New Roman"/>
                <w:sz w:val="24"/>
              </w:rPr>
              <w:t>）的年平均浓度分别为50</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和74</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，超过了《环境空气质量标准》（GB3095-2012）中的二级标准限值（35</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和70</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查阅《邵阳市污染防治攻坚战三年行动计划（2018-2020年）》中“各县市区PM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平均浓度改善目标”，邵东县2018年PM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年度目标为年均值47</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和72</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，2019年PM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年度目标为年均值44</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和70</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，2020年PM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年度目标为年均值42</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和68</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结合邵东县政府网发布的2018年各季度环境空气质量统计数据，从环境质量改善目标的角度而言，区域大气环境质量已达考核目标要求。根据《邵阳市污染防治攻坚战三年行动计划（2018-2020年）》的要求，邵阳市将在2019年6月底前，编制完成市区大气环境质量限期达标规划，明确本地区大气环境质量达标的路线图、时间表和任务措施，并向社会公布。</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综上，在充分考虑区域新增项目污染物排放与节能减排的前提下，在采取本环评提出的污染防治措施后，本项目污染物排放符合区域环境质量改善目标要求，满足区域环境质量底线。</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资源利用上线符合性分析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进行砂石料生产的建设项目，区域分布有大量采石场和石材加工厂，生产原料供应充足；项目生产废水循环使用，且无洗砂工艺，耗水量小；总体而言，项目主要消耗的资源为电力，消耗量约为100万</w:t>
            </w:r>
            <w:r>
              <w:rPr>
                <w:rFonts w:ascii="Times New Roman" w:hAnsi="Times New Roman" w:cs="Times New Roman"/>
                <w:sz w:val="24"/>
              </w:rPr>
              <w:t>KW▪h</w:t>
            </w:r>
            <w:r>
              <w:rPr>
                <w:rFonts w:hint="eastAsia" w:ascii="Times New Roman" w:hAnsi="Times New Roman" w:cs="Times New Roman"/>
                <w:sz w:val="24"/>
              </w:rPr>
              <w:t>。目前项目所在区域电力供应稳定。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综上，本项目的建设不会对区域各类资源供应造成冲击，符合区域资源利用上线管理要求。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环境准入负面清单</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目前邵阳市环境准入负面清单尚未正式发布，本环评仅从国家和地方相关产业政策的角度进行简要分析。查阅国家发改委发布的《产业结构调整指导目录》（2011年本，2013年修正），本项目石材加工生产线不属于该目录中“鼓励类”、“限制类”或“淘汰类”，为允许类；砂石生产线属于该目录中“第一类，鼓励类：十二、建材（11、废矿石、尾矿和建筑废弃物的综合利用）”类别；查阅国家发展改革委和商务部发布的《市场准入负面清单（2018年版）》（发改经体〔2018〕1892号），本项目不属于其中的禁止类项目。</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进行砂石料生产的建设项目，原辅材料和产品不涉及有毒有害物质，项目生产过程中环境污染风险小，从国家和地方鼓励废弃资源综合利用的政策导向分析，本项目属于环境友好型和资源节约型项目，符合环境准入管理要求。</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（3）项目选址合理性分析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项目选址</w:t>
            </w:r>
            <w:r>
              <w:rPr>
                <w:rFonts w:hint="eastAsia" w:ascii="Times New Roman" w:hAnsi="Times New Roman" w:cs="Times New Roman"/>
                <w:sz w:val="24"/>
              </w:rPr>
              <w:t>邵东县火厂坪镇</w:t>
            </w:r>
            <w:r>
              <w:rPr>
                <w:rFonts w:ascii="Times New Roman" w:hAnsi="Times New Roman" w:cs="Times New Roman"/>
                <w:sz w:val="24"/>
              </w:rPr>
              <w:t>，</w:t>
            </w:r>
            <w:r>
              <w:rPr>
                <w:rFonts w:hint="eastAsia" w:ascii="Times New Roman" w:hAnsi="Times New Roman" w:cs="Times New Roman"/>
                <w:sz w:val="24"/>
              </w:rPr>
              <w:t>租赁龙新村李家屋组集体土地进行建设（租赁合同详见附件3），该场地原为闲置土地。目前项目用地手续正在办理中。项目不在邵阳市生态保护红线范围内，符合“三线一单”管理要求。项目所在区域交通便利，水、电等资源满足项目要求，项目区域环境质量较好，项目建设产生的污染物的排放可完全达标，经过预测，项目投产后对大气、地表水、声环境的影响可控制在可接受范围内，与周边区域环境相符。</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综上，从环保角度而言，项目选址可行。</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（4）项目平面布局合理性分析</w:t>
            </w:r>
          </w:p>
          <w:p>
            <w:pPr>
              <w:autoSpaceDE w:val="0"/>
              <w:autoSpaceDN w:val="0"/>
              <w:adjustRightIn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分为石材加工车间、砂石生产车间、石材原料和产品存放车间、砂石原料堆场和成品堆场、办公用房等。大门位于厂区西南侧，作为车辆及人流出入口。厂区南部为办公辅助用房（值班室、机修间、危废间等），厂区北部为石材加工车间，厂区中部为石材原料和产品堆场，厂区东部为砂石生产车间和成品砂石堆场等（车间内按生产工艺流程依次布设相关设备）。</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从总体平面布置上来看，该项目功能区划分比较明确，厂区布置紧凑合理，生产线布设可减少产品运输距离，厂区运输流畅。项目生产区和办公区域分开布置，且生产区位于办公区北侧，中间间隔有石板产品堆场；邵东县常年主导风为东风，年出现频率为7.9%，总体来说，营运期废气排放对办公生活区及南侧居民点影响不大。项目切割设备、破碎和筛分设备均位于厂区生产车间内，场地经平整后四周均有山坡阻隔，且远离北侧和南侧的居民点，利用车间墙体和山坡的阻隔以及距离衰减作用最大程度减少噪声敏感目标的影响。综上所述，本项目平面布置有利于降低营运期污染物排放对周边环境的影响，从环保角度而言，本项目平面布局较为合理。</w:t>
            </w:r>
          </w:p>
          <w:p>
            <w:pPr>
              <w:spacing w:line="360" w:lineRule="auto"/>
              <w:ind w:firstLine="482" w:firstLineChars="200"/>
              <w:rPr>
                <w:rFonts w:ascii="Times New Roman" w:hAnsi="Times New Roman" w:cs="Times New Roman"/>
                <w:sz w:val="24"/>
              </w:rPr>
            </w:pPr>
            <w:r>
              <w:rPr>
                <w:rFonts w:hint="eastAsia" w:ascii="Times New Roman" w:hAnsi="Times New Roman" w:cs="Times New Roman"/>
                <w:b/>
                <w:sz w:val="24"/>
              </w:rPr>
              <w:t>7.2.8环境管理与监测</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（1）环境管理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环境管理是协调经济发展与环境保护的关系，是使经济、社会、环境有序持续发展的重要手段，根据本项目的工程特性，建设单位应设置环境保护管理专职人员，其环境管理主要内容如下：</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在项目设计阶段，按照国家有关环保法律、法规、论证工程的污染状况，设计完善的污染物处理措施，达到国家规定的环保标准。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② 在项目建设阶段，必须到环境保护行政主管部门进行排污申报登记，设置“环境保护监督栏”，制定切实可行的防治施工过程中的环境污染措施，设置专职人员进行环境管理。</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组织和实施环境保护规划，并监督、检查环境保护措施的执行情况和环保经费的使用情况，保证各单项工程建设执行“三同时”制度。</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④ 在营运过程中加强环境管理，建立健全严格的环境管理和污染控制操作程序。监督与环境有关的合同条款的执行，参与单位环保验收并签署环境管理意见，使工程建设符合环境保护法规的要求。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⑤ 按照标准规范设置排污口和相关标识，定期对环保设备、设施进行维护。</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本项目需提出严格的环境管理措施，如建立环境管理机构，配备环保管理人员，实行环保“三同时”制度，以落实本环境影响评价报告表的各项要求。</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（2）环境监测</w:t>
            </w:r>
          </w:p>
          <w:p>
            <w:pPr>
              <w:spacing w:line="360" w:lineRule="auto"/>
              <w:ind w:firstLine="480"/>
              <w:rPr>
                <w:rFonts w:ascii="Times New Roman" w:hAnsi="Times New Roman" w:cs="Times New Roman"/>
                <w:sz w:val="24"/>
              </w:rPr>
            </w:pPr>
            <w:r>
              <w:rPr>
                <w:rFonts w:hint="eastAsia" w:ascii="Times New Roman" w:hAnsi="Times New Roman" w:cs="Times New Roman"/>
                <w:sz w:val="24"/>
              </w:rPr>
              <w:t>开展环境监测是环境保护的重要内容。环境监测是环境保护的眼睛，是发现和解决环境问题的前提。建设单位可委托第三方检测公司进行监测，以便污染源的监控，发现问题及时整改，确保各项污染设施的正常运转和污染物的达标排放。具体如下：</w:t>
            </w:r>
          </w:p>
          <w:p>
            <w:pPr>
              <w:spacing w:line="360" w:lineRule="auto"/>
              <w:ind w:firstLine="480"/>
              <w:rPr>
                <w:rFonts w:ascii="Times New Roman" w:hAnsi="Times New Roman" w:cs="Times New Roman"/>
                <w:sz w:val="24"/>
              </w:rPr>
            </w:pPr>
            <w:r>
              <w:rPr>
                <w:rFonts w:hint="eastAsia" w:ascii="Times New Roman" w:hAnsi="Times New Roman" w:cs="Times New Roman"/>
                <w:sz w:val="24"/>
              </w:rPr>
              <w:t>① 施工期环境监测：本项目施工期间，建设单位应定期委托有资质监测机构对项目施工过程中各污染源进行监测，确保施工期各污染物达标排放。</w:t>
            </w:r>
          </w:p>
          <w:p>
            <w:pPr>
              <w:spacing w:line="360" w:lineRule="auto"/>
              <w:ind w:firstLine="480"/>
              <w:rPr>
                <w:rFonts w:ascii="Times New Roman" w:hAnsi="Times New Roman" w:cs="Times New Roman"/>
                <w:sz w:val="24"/>
              </w:rPr>
            </w:pPr>
            <w:r>
              <w:rPr>
                <w:rFonts w:hint="eastAsia" w:ascii="Times New Roman" w:hAnsi="Times New Roman" w:cs="Times New Roman"/>
                <w:sz w:val="24"/>
              </w:rPr>
              <w:t>② 竣工环保验收监测：本项目建成后环境保护设施调试期间，正式投产之前，建设单位应及时委托有资质的环境监测机构对本项目环境保护设施组织进行竣工验收监测，并组织自行或者委托技术机构编制竣工环保验收监测报告。</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③ 营运期环境监测：营运期环境监测：本项目投产后，企业应按照《排污单位自行监测技术指南 总则》（HJ 819-2017）等标准和技术规范的要求编制监测方案，自行或者委托有资质监测机构对污染源及环保设施运行情况进行常规监测。本环评推荐的监测内容、点位和频次如</w:t>
            </w:r>
            <w:r>
              <w:rPr>
                <w:rFonts w:ascii="Times New Roman" w:hAnsi="Times New Roman" w:cs="Times New Roman"/>
                <w:sz w:val="24"/>
              </w:rPr>
              <w:fldChar w:fldCharType="begin"/>
            </w:r>
            <w:r>
              <w:rPr>
                <w:rFonts w:ascii="Times New Roman" w:hAnsi="Times New Roman" w:cs="Times New Roman"/>
                <w:sz w:val="24"/>
              </w:rPr>
              <w:instrText xml:space="preserve"> </w:instrText>
            </w:r>
            <w:r>
              <w:rPr>
                <w:rFonts w:hint="eastAsia" w:ascii="Times New Roman" w:hAnsi="Times New Roman" w:cs="Times New Roman"/>
                <w:sz w:val="24"/>
              </w:rPr>
              <w:instrText xml:space="preserve">REF _Ref493246661 \h</w:instrText>
            </w:r>
            <w:r>
              <w:rPr>
                <w:rFonts w:ascii="Times New Roman" w:hAnsi="Times New Roman" w:cs="Times New Roman"/>
                <w:sz w:val="24"/>
              </w:rPr>
              <w:instrText xml:space="preserve">  \* MERGEFORMAT </w:instrText>
            </w:r>
            <w:r>
              <w:rPr>
                <w:rFonts w:ascii="Times New Roman" w:hAnsi="Times New Roman" w:cs="Times New Roman"/>
                <w:sz w:val="24"/>
              </w:rPr>
              <w:fldChar w:fldCharType="separate"/>
            </w:r>
            <w:r>
              <w:rPr>
                <w:rFonts w:hint="eastAsia" w:ascii="Times New Roman" w:hAnsi="Times New Roman" w:cs="Times New Roman"/>
                <w:sz w:val="24"/>
              </w:rPr>
              <w:t>表7-</w:t>
            </w:r>
            <w:r>
              <w:rPr>
                <w:rFonts w:ascii="Times New Roman" w:hAnsi="Times New Roman" w:cs="Times New Roman"/>
                <w:sz w:val="24"/>
              </w:rPr>
              <w:t>27</w:t>
            </w:r>
            <w:r>
              <w:rPr>
                <w:rFonts w:ascii="Times New Roman" w:hAnsi="Times New Roman" w:cs="Times New Roman"/>
                <w:sz w:val="24"/>
              </w:rPr>
              <w:fldChar w:fldCharType="end"/>
            </w:r>
            <w:r>
              <w:rPr>
                <w:rFonts w:hint="eastAsia" w:ascii="Times New Roman" w:hAnsi="Times New Roman" w:cs="Times New Roman"/>
                <w:sz w:val="24"/>
              </w:rPr>
              <w:t>所示。</w:t>
            </w:r>
          </w:p>
          <w:p>
            <w:pPr>
              <w:spacing w:line="360" w:lineRule="auto"/>
              <w:jc w:val="center"/>
              <w:rPr>
                <w:rFonts w:ascii="Times New Roman" w:hAnsi="Times New Roman" w:cs="Times New Roman"/>
                <w:b/>
                <w:sz w:val="24"/>
              </w:rPr>
            </w:pPr>
            <w:bookmarkStart w:id="77" w:name="_Ref493246661"/>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27</w:t>
            </w:r>
            <w:r>
              <w:rPr>
                <w:rFonts w:ascii="Times New Roman" w:hAnsi="Times New Roman" w:cs="Times New Roman"/>
                <w:b/>
                <w:bCs/>
              </w:rPr>
              <w:fldChar w:fldCharType="end"/>
            </w:r>
            <w:bookmarkEnd w:id="77"/>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环境监测计划表</w:t>
            </w:r>
          </w:p>
          <w:tbl>
            <w:tblPr>
              <w:tblStyle w:val="25"/>
              <w:tblW w:w="9067" w:type="dxa"/>
              <w:tblInd w:w="0" w:type="dxa"/>
              <w:tblLayout w:type="fixed"/>
              <w:tblCellMar>
                <w:top w:w="0" w:type="dxa"/>
                <w:left w:w="108" w:type="dxa"/>
                <w:bottom w:w="0" w:type="dxa"/>
                <w:right w:w="108" w:type="dxa"/>
              </w:tblCellMar>
            </w:tblPr>
            <w:tblGrid>
              <w:gridCol w:w="704"/>
              <w:gridCol w:w="709"/>
              <w:gridCol w:w="1417"/>
              <w:gridCol w:w="1134"/>
              <w:gridCol w:w="2694"/>
              <w:gridCol w:w="1417"/>
              <w:gridCol w:w="992"/>
            </w:tblGrid>
            <w:tr>
              <w:tblPrEx>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时期</w:t>
                  </w:r>
                </w:p>
              </w:tc>
              <w:tc>
                <w:tcPr>
                  <w:tcW w:w="709"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序号</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类别</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监测项目</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监测方法</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监测点位</w:t>
                  </w:r>
                </w:p>
              </w:tc>
              <w:tc>
                <w:tcPr>
                  <w:tcW w:w="99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cs="Times New Roman"/>
                      <w:b/>
                    </w:rPr>
                    <w:t>监测频次</w:t>
                  </w:r>
                </w:p>
              </w:tc>
            </w:tr>
            <w:tr>
              <w:tblPrEx>
                <w:tblLayout w:type="fixed"/>
                <w:tblCellMar>
                  <w:top w:w="0" w:type="dxa"/>
                  <w:left w:w="108" w:type="dxa"/>
                  <w:bottom w:w="0" w:type="dxa"/>
                  <w:right w:w="108" w:type="dxa"/>
                </w:tblCellMar>
              </w:tblPrEx>
              <w:trPr>
                <w:trHeight w:val="397" w:hRule="atLeast"/>
              </w:trPr>
              <w:tc>
                <w:tcPr>
                  <w:tcW w:w="704" w:type="dxa"/>
                  <w:vMerge w:val="restar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营运期</w:t>
                  </w:r>
                </w:p>
              </w:tc>
              <w:tc>
                <w:tcPr>
                  <w:tcW w:w="709" w:type="dxa"/>
                  <w:tcBorders>
                    <w:top w:val="single" w:color="auto" w:sz="4" w:space="0"/>
                    <w:left w:val="single" w:color="auto" w:sz="4" w:space="0"/>
                    <w:right w:val="single" w:color="auto" w:sz="4" w:space="0"/>
                  </w:tcBorders>
                  <w:vAlign w:val="center"/>
                </w:tcPr>
                <w:p>
                  <w:pPr>
                    <w:pStyle w:val="53"/>
                    <w:numPr>
                      <w:ilvl w:val="0"/>
                      <w:numId w:val="17"/>
                    </w:numPr>
                    <w:ind w:firstLineChars="0"/>
                    <w:jc w:val="center"/>
                    <w:rPr>
                      <w:rFonts w:ascii="Times New Roman" w:hAnsi="Times New Roman" w:eastAsia="宋体" w:cs="Times New Roman"/>
                      <w:szCs w:val="21"/>
                    </w:rPr>
                  </w:pPr>
                </w:p>
              </w:tc>
              <w:tc>
                <w:tcPr>
                  <w:tcW w:w="1417" w:type="dxa"/>
                  <w:tcBorders>
                    <w:top w:val="single" w:color="auto" w:sz="4" w:space="0"/>
                    <w:left w:val="nil"/>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有组织</w:t>
                  </w:r>
                  <w:r>
                    <w:rPr>
                      <w:rFonts w:ascii="Times New Roman" w:hAnsi="Times New Roman" w:cs="Times New Roman"/>
                    </w:rPr>
                    <w:t>废气</w:t>
                  </w:r>
                  <w:r>
                    <w:rPr>
                      <w:rFonts w:hint="eastAsia" w:ascii="Times New Roman" w:hAnsi="Times New Roman" w:cs="Times New Roman"/>
                    </w:rPr>
                    <w:t>（</w:t>
                  </w:r>
                  <w:r>
                    <w:rPr>
                      <w:rFonts w:hint="eastAsia" w:ascii="Times New Roman" w:hAnsi="Times New Roman" w:eastAsia="宋体" w:cs="Times New Roman"/>
                      <w:szCs w:val="21"/>
                    </w:rPr>
                    <w:t>破碎筛分粉尘</w:t>
                  </w:r>
                  <w:r>
                    <w:rPr>
                      <w:rFonts w:hint="eastAsia" w:ascii="Times New Roman" w:hAnsi="Times New Roman" w:cs="Times New Roman"/>
                    </w:rPr>
                    <w:t>）</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颗粒物</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《固定污染源排气中颗粒物和气态污染物采样方法》（GB/T 16157-1996）</w:t>
                  </w:r>
                </w:p>
              </w:tc>
              <w:tc>
                <w:tcPr>
                  <w:tcW w:w="1417" w:type="dxa"/>
                  <w:tcBorders>
                    <w:top w:val="single" w:color="auto" w:sz="4" w:space="0"/>
                    <w:left w:val="nil"/>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破碎筛分废气排气筒</w:t>
                  </w:r>
                </w:p>
              </w:tc>
              <w:tc>
                <w:tcPr>
                  <w:tcW w:w="992" w:type="dxa"/>
                  <w:tcBorders>
                    <w:top w:val="single" w:color="auto" w:sz="4" w:space="0"/>
                    <w:left w:val="nil"/>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每</w:t>
                  </w:r>
                  <w:r>
                    <w:rPr>
                      <w:rFonts w:hint="eastAsia" w:ascii="Times New Roman" w:hAnsi="Times New Roman" w:cs="Times New Roman"/>
                    </w:rPr>
                    <w:t>年</w:t>
                  </w:r>
                  <w:r>
                    <w:rPr>
                      <w:rFonts w:ascii="Times New Roman" w:hAnsi="Times New Roman" w:cs="Times New Roman"/>
                    </w:rPr>
                    <w:t>监测1次</w:t>
                  </w:r>
                </w:p>
              </w:tc>
            </w:tr>
            <w:tr>
              <w:tblPrEx>
                <w:tblLayout w:type="fixed"/>
                <w:tblCellMar>
                  <w:top w:w="0" w:type="dxa"/>
                  <w:left w:w="108" w:type="dxa"/>
                  <w:bottom w:w="0" w:type="dxa"/>
                  <w:right w:w="108" w:type="dxa"/>
                </w:tblCellMar>
              </w:tblPrEx>
              <w:trPr>
                <w:trHeight w:val="397" w:hRule="atLeast"/>
              </w:trPr>
              <w:tc>
                <w:tcPr>
                  <w:tcW w:w="704" w:type="dxa"/>
                  <w:vMerge w:val="continue"/>
                  <w:tcBorders>
                    <w:left w:val="single" w:color="auto" w:sz="4" w:space="0"/>
                    <w:right w:val="single" w:color="auto" w:sz="4" w:space="0"/>
                  </w:tcBorders>
                  <w:vAlign w:val="center"/>
                </w:tcPr>
                <w:p>
                  <w:pPr>
                    <w:jc w:val="center"/>
                    <w:rPr>
                      <w:rFonts w:ascii="Times New Roman" w:hAnsi="Times New Roman" w:eastAsia="宋体" w:cs="Times New Roman"/>
                      <w:szCs w:val="21"/>
                    </w:rPr>
                  </w:pPr>
                </w:p>
              </w:tc>
              <w:tc>
                <w:tcPr>
                  <w:tcW w:w="709" w:type="dxa"/>
                  <w:tcBorders>
                    <w:top w:val="single" w:color="auto" w:sz="4" w:space="0"/>
                    <w:left w:val="single" w:color="auto" w:sz="4" w:space="0"/>
                    <w:right w:val="single" w:color="auto" w:sz="4" w:space="0"/>
                  </w:tcBorders>
                  <w:vAlign w:val="center"/>
                </w:tcPr>
                <w:p>
                  <w:pPr>
                    <w:pStyle w:val="53"/>
                    <w:numPr>
                      <w:ilvl w:val="0"/>
                      <w:numId w:val="17"/>
                    </w:numPr>
                    <w:ind w:firstLineChars="0"/>
                    <w:jc w:val="center"/>
                    <w:rPr>
                      <w:rFonts w:ascii="Times New Roman" w:hAnsi="Times New Roman" w:eastAsia="宋体" w:cs="Times New Roman"/>
                      <w:szCs w:val="21"/>
                    </w:rPr>
                  </w:pPr>
                </w:p>
              </w:tc>
              <w:tc>
                <w:tcPr>
                  <w:tcW w:w="1417" w:type="dxa"/>
                  <w:tcBorders>
                    <w:top w:val="single" w:color="auto" w:sz="4" w:space="0"/>
                    <w:left w:val="nil"/>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无组织废气</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颗粒物</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《环境空气 总悬浮颗粒物的测定 重量法》（GB/T15432-1995）</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厂界上风向参照点、下风向监控点</w:t>
                  </w:r>
                </w:p>
              </w:tc>
              <w:tc>
                <w:tcPr>
                  <w:tcW w:w="99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每</w:t>
                  </w:r>
                  <w:r>
                    <w:rPr>
                      <w:rFonts w:hint="eastAsia" w:ascii="Times New Roman" w:hAnsi="Times New Roman" w:cs="Times New Roman"/>
                    </w:rPr>
                    <w:t>年</w:t>
                  </w:r>
                  <w:r>
                    <w:rPr>
                      <w:rFonts w:ascii="Times New Roman" w:hAnsi="Times New Roman" w:cs="Times New Roman"/>
                    </w:rPr>
                    <w:t>监测1次</w:t>
                  </w:r>
                </w:p>
              </w:tc>
            </w:tr>
            <w:tr>
              <w:tblPrEx>
                <w:tblLayout w:type="fixed"/>
                <w:tblCellMar>
                  <w:top w:w="0" w:type="dxa"/>
                  <w:left w:w="108" w:type="dxa"/>
                  <w:bottom w:w="0" w:type="dxa"/>
                  <w:right w:w="108" w:type="dxa"/>
                </w:tblCellMar>
              </w:tblPrEx>
              <w:trPr>
                <w:trHeight w:val="397" w:hRule="atLeast"/>
              </w:trPr>
              <w:tc>
                <w:tcPr>
                  <w:tcW w:w="704" w:type="dxa"/>
                  <w:vMerge w:val="continue"/>
                  <w:tcBorders>
                    <w:left w:val="single" w:color="auto" w:sz="4" w:space="0"/>
                    <w:right w:val="single" w:color="auto" w:sz="4" w:space="0"/>
                  </w:tcBorders>
                  <w:vAlign w:val="center"/>
                </w:tcPr>
                <w:p>
                  <w:pPr>
                    <w:jc w:val="center"/>
                    <w:rPr>
                      <w:rFonts w:ascii="Times New Roman" w:hAnsi="Times New Roman" w:eastAsia="宋体" w:cs="Times New Roman"/>
                      <w:szCs w:val="21"/>
                    </w:rPr>
                  </w:pPr>
                </w:p>
              </w:tc>
              <w:tc>
                <w:tcPr>
                  <w:tcW w:w="709" w:type="dxa"/>
                  <w:tcBorders>
                    <w:top w:val="single" w:color="auto" w:sz="4" w:space="0"/>
                    <w:left w:val="single" w:color="auto" w:sz="4" w:space="0"/>
                    <w:right w:val="single" w:color="auto" w:sz="4" w:space="0"/>
                  </w:tcBorders>
                  <w:vAlign w:val="center"/>
                </w:tcPr>
                <w:p>
                  <w:pPr>
                    <w:pStyle w:val="53"/>
                    <w:numPr>
                      <w:ilvl w:val="0"/>
                      <w:numId w:val="17"/>
                    </w:numPr>
                    <w:ind w:firstLineChars="0"/>
                    <w:jc w:val="center"/>
                    <w:rPr>
                      <w:rFonts w:ascii="Times New Roman" w:hAnsi="Times New Roman" w:eastAsia="宋体" w:cs="Times New Roman"/>
                      <w:szCs w:val="21"/>
                    </w:rPr>
                  </w:pPr>
                </w:p>
              </w:tc>
              <w:tc>
                <w:tcPr>
                  <w:tcW w:w="1417" w:type="dxa"/>
                  <w:tcBorders>
                    <w:top w:val="single" w:color="auto" w:sz="4" w:space="0"/>
                    <w:left w:val="nil"/>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敏感点环境空气</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TSP</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《环境空气 总悬浮颗粒物的测定 重量法》（GB/T15432-1995）</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项目北侧、南侧居民点</w:t>
                  </w:r>
                </w:p>
              </w:tc>
              <w:tc>
                <w:tcPr>
                  <w:tcW w:w="992"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每</w:t>
                  </w:r>
                  <w:r>
                    <w:rPr>
                      <w:rFonts w:hint="eastAsia" w:ascii="Times New Roman" w:hAnsi="Times New Roman" w:cs="Times New Roman"/>
                    </w:rPr>
                    <w:t>年</w:t>
                  </w:r>
                  <w:r>
                    <w:rPr>
                      <w:rFonts w:ascii="Times New Roman" w:hAnsi="Times New Roman" w:cs="Times New Roman"/>
                    </w:rPr>
                    <w:t>监测1次</w:t>
                  </w:r>
                </w:p>
              </w:tc>
            </w:tr>
            <w:tr>
              <w:tblPrEx>
                <w:tblLayout w:type="fixed"/>
                <w:tblCellMar>
                  <w:top w:w="0" w:type="dxa"/>
                  <w:left w:w="108" w:type="dxa"/>
                  <w:bottom w:w="0" w:type="dxa"/>
                  <w:right w:w="108" w:type="dxa"/>
                </w:tblCellMar>
              </w:tblPrEx>
              <w:trPr>
                <w:trHeight w:val="397" w:hRule="atLeast"/>
              </w:trPr>
              <w:tc>
                <w:tcPr>
                  <w:tcW w:w="704" w:type="dxa"/>
                  <w:vMerge w:val="continue"/>
                  <w:tcBorders>
                    <w:left w:val="single" w:color="auto" w:sz="4" w:space="0"/>
                    <w:right w:val="single" w:color="auto" w:sz="4" w:space="0"/>
                  </w:tcBorders>
                  <w:vAlign w:val="center"/>
                </w:tcPr>
                <w:p>
                  <w:pPr>
                    <w:jc w:val="center"/>
                    <w:rPr>
                      <w:rFonts w:ascii="Times New Roman" w:hAnsi="Times New Roman" w:eastAsia="宋体" w:cs="Times New Roman"/>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3"/>
                    <w:numPr>
                      <w:ilvl w:val="0"/>
                      <w:numId w:val="17"/>
                    </w:numPr>
                    <w:ind w:firstLineChars="0"/>
                    <w:jc w:val="center"/>
                    <w:rPr>
                      <w:rFonts w:ascii="Times New Roman" w:hAnsi="Times New Roman" w:eastAsia="宋体" w:cs="Times New Roman"/>
                      <w:szCs w:val="21"/>
                    </w:rPr>
                  </w:pP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厂界</w:t>
                  </w:r>
                  <w:r>
                    <w:rPr>
                      <w:rFonts w:ascii="Times New Roman" w:hAnsi="Times New Roman" w:cs="Times New Roman"/>
                    </w:rPr>
                    <w:t>噪声</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Leq(A)</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《工业企业厂界环境噪声排放标准》（GB 12348-2008）</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cs="Times New Roman"/>
                    </w:rPr>
                    <w:t>厂界</w:t>
                  </w:r>
                  <w:r>
                    <w:rPr>
                      <w:rFonts w:ascii="Times New Roman" w:hAnsi="Times New Roman" w:cs="Times New Roman"/>
                    </w:rPr>
                    <w:t>东、南、西、北、外1米处</w:t>
                  </w:r>
                </w:p>
              </w:tc>
              <w:tc>
                <w:tcPr>
                  <w:tcW w:w="99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cs="Times New Roman"/>
                    </w:rPr>
                    <w:t>每</w:t>
                  </w:r>
                  <w:r>
                    <w:rPr>
                      <w:rFonts w:hint="eastAsia" w:ascii="Times New Roman" w:hAnsi="Times New Roman" w:cs="Times New Roman"/>
                    </w:rPr>
                    <w:t>季度</w:t>
                  </w:r>
                  <w:r>
                    <w:rPr>
                      <w:rFonts w:ascii="Times New Roman" w:hAnsi="Times New Roman" w:cs="Times New Roman"/>
                    </w:rPr>
                    <w:t>监测1次</w:t>
                  </w:r>
                </w:p>
              </w:tc>
            </w:tr>
            <w:tr>
              <w:tblPrEx>
                <w:tblLayout w:type="fixed"/>
                <w:tblCellMar>
                  <w:top w:w="0" w:type="dxa"/>
                  <w:left w:w="108" w:type="dxa"/>
                  <w:bottom w:w="0" w:type="dxa"/>
                  <w:right w:w="108" w:type="dxa"/>
                </w:tblCellMar>
              </w:tblPrEx>
              <w:trPr>
                <w:trHeight w:val="397" w:hRule="atLeast"/>
              </w:trPr>
              <w:tc>
                <w:tcPr>
                  <w:tcW w:w="704"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3"/>
                    <w:numPr>
                      <w:ilvl w:val="0"/>
                      <w:numId w:val="17"/>
                    </w:numPr>
                    <w:ind w:firstLineChars="0"/>
                    <w:jc w:val="center"/>
                    <w:rPr>
                      <w:rFonts w:ascii="Times New Roman" w:hAnsi="Times New Roman" w:eastAsia="宋体" w:cs="Times New Roman"/>
                      <w:szCs w:val="21"/>
                    </w:rPr>
                  </w:pP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敏感点环境噪声</w:t>
                  </w:r>
                </w:p>
              </w:tc>
              <w:tc>
                <w:tcPr>
                  <w:tcW w:w="113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Leq(A)</w:t>
                  </w:r>
                </w:p>
              </w:tc>
              <w:tc>
                <w:tcPr>
                  <w:tcW w:w="2694"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《声环境质量标准》（GB3096-2008）</w:t>
                  </w:r>
                </w:p>
              </w:tc>
              <w:tc>
                <w:tcPr>
                  <w:tcW w:w="1417"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hint="eastAsia" w:ascii="Times New Roman" w:hAnsi="Times New Roman" w:cs="Times New Roman"/>
                    </w:rPr>
                    <w:t>项目南侧140m、北侧70m处居民点</w:t>
                  </w:r>
                </w:p>
              </w:tc>
              <w:tc>
                <w:tcPr>
                  <w:tcW w:w="992" w:type="dxa"/>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每</w:t>
                  </w:r>
                  <w:r>
                    <w:rPr>
                      <w:rFonts w:hint="eastAsia" w:ascii="Times New Roman" w:hAnsi="Times New Roman" w:cs="Times New Roman"/>
                    </w:rPr>
                    <w:t>季度</w:t>
                  </w:r>
                  <w:r>
                    <w:rPr>
                      <w:rFonts w:ascii="Times New Roman" w:hAnsi="Times New Roman" w:cs="Times New Roman"/>
                    </w:rPr>
                    <w:t>监测1次</w:t>
                  </w:r>
                </w:p>
              </w:tc>
            </w:tr>
          </w:tbl>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7.2.9环保投资估算</w:t>
            </w:r>
          </w:p>
          <w:p>
            <w:pPr>
              <w:spacing w:line="336" w:lineRule="auto"/>
              <w:ind w:firstLine="360" w:firstLineChars="150"/>
              <w:rPr>
                <w:rFonts w:ascii="Times New Roman" w:hAnsi="Times New Roman" w:cs="Times New Roman"/>
                <w:sz w:val="24"/>
              </w:rPr>
            </w:pPr>
            <w:r>
              <w:rPr>
                <w:rFonts w:hint="eastAsia" w:ascii="Times New Roman" w:hAnsi="Times New Roman" w:cs="Times New Roman"/>
                <w:sz w:val="24"/>
              </w:rPr>
              <w:t>根据拟建项目污染源产生及排放情况，建设单位计划对生产过程中产生的废水、废气、噪声和固废等采取相应的污染防治措施。</w:t>
            </w:r>
            <w:r>
              <w:rPr>
                <w:rFonts w:ascii="Times New Roman" w:hAnsi="Times New Roman" w:cs="Times New Roman"/>
                <w:sz w:val="24"/>
              </w:rPr>
              <w:t>本项目总投资</w:t>
            </w:r>
            <w:r>
              <w:rPr>
                <w:rFonts w:hint="eastAsia" w:ascii="Times New Roman" w:hAnsi="Times New Roman" w:cs="Times New Roman"/>
                <w:sz w:val="24"/>
              </w:rPr>
              <w:t>1000万元</w:t>
            </w:r>
            <w:r>
              <w:rPr>
                <w:rFonts w:ascii="Times New Roman" w:hAnsi="Times New Roman" w:cs="Times New Roman"/>
                <w:sz w:val="24"/>
              </w:rPr>
              <w:t>，其中环保投资估算</w:t>
            </w:r>
            <w:r>
              <w:rPr>
                <w:rFonts w:hint="eastAsia" w:ascii="Times New Roman" w:hAnsi="Times New Roman" w:cs="Times New Roman"/>
                <w:sz w:val="24"/>
              </w:rPr>
              <w:t>97</w:t>
            </w:r>
            <w:r>
              <w:rPr>
                <w:rFonts w:ascii="Times New Roman" w:hAnsi="Times New Roman" w:cs="Times New Roman"/>
                <w:sz w:val="24"/>
              </w:rPr>
              <w:t>万元，约占工程总投资的</w:t>
            </w:r>
            <w:r>
              <w:rPr>
                <w:rFonts w:hint="eastAsia" w:ascii="Times New Roman" w:hAnsi="Times New Roman" w:cs="Times New Roman"/>
                <w:sz w:val="24"/>
              </w:rPr>
              <w:t>9.7</w:t>
            </w:r>
            <w:r>
              <w:rPr>
                <w:rFonts w:ascii="Times New Roman" w:hAnsi="Times New Roman" w:cs="Times New Roman"/>
                <w:sz w:val="24"/>
              </w:rPr>
              <w:t>%。环保治理措施及投资见</w:t>
            </w:r>
            <w:r>
              <w:rPr>
                <w:rFonts w:ascii="Times New Roman" w:hAnsi="Times New Roman" w:cs="Times New Roman"/>
                <w:sz w:val="24"/>
              </w:rPr>
              <w:fldChar w:fldCharType="begin"/>
            </w:r>
            <w:r>
              <w:rPr>
                <w:rFonts w:ascii="Times New Roman" w:hAnsi="Times New Roman" w:cs="Times New Roman"/>
                <w:sz w:val="24"/>
              </w:rPr>
              <w:instrText xml:space="preserve"> REF _Ref493247147 \h  \* MERGEFORMAT </w:instrText>
            </w:r>
            <w:r>
              <w:rPr>
                <w:rFonts w:ascii="Times New Roman" w:hAnsi="Times New Roman" w:cs="Times New Roman"/>
                <w:sz w:val="24"/>
              </w:rPr>
              <w:fldChar w:fldCharType="separate"/>
            </w:r>
            <w:r>
              <w:rPr>
                <w:rFonts w:hint="eastAsia" w:ascii="Times New Roman" w:hAnsi="Times New Roman" w:cs="Times New Roman"/>
                <w:sz w:val="24"/>
              </w:rPr>
              <w:t>表7-</w:t>
            </w:r>
            <w:r>
              <w:rPr>
                <w:rFonts w:ascii="Times New Roman" w:hAnsi="Times New Roman" w:cs="Times New Roman"/>
                <w:sz w:val="24"/>
              </w:rPr>
              <w:t>28</w:t>
            </w:r>
            <w:r>
              <w:rPr>
                <w:rFonts w:ascii="Times New Roman" w:hAnsi="Times New Roman" w:cs="Times New Roman"/>
                <w:sz w:val="24"/>
              </w:rPr>
              <w:fldChar w:fldCharType="end"/>
            </w:r>
            <w:r>
              <w:rPr>
                <w:rFonts w:ascii="Times New Roman" w:hAnsi="Times New Roman" w:cs="Times New Roman"/>
                <w:sz w:val="24"/>
              </w:rPr>
              <w:t>。</w:t>
            </w:r>
          </w:p>
          <w:p>
            <w:pPr>
              <w:spacing w:line="360" w:lineRule="auto"/>
              <w:jc w:val="center"/>
              <w:rPr>
                <w:rFonts w:ascii="Times New Roman" w:hAnsi="Times New Roman" w:cs="Times New Roman"/>
                <w:b/>
                <w:bCs/>
              </w:rPr>
            </w:pPr>
            <w:bookmarkStart w:id="78" w:name="_Ref493247147"/>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28</w:t>
            </w:r>
            <w:r>
              <w:rPr>
                <w:rFonts w:ascii="Times New Roman" w:hAnsi="Times New Roman" w:cs="Times New Roman"/>
                <w:b/>
                <w:bCs/>
              </w:rPr>
              <w:fldChar w:fldCharType="end"/>
            </w:r>
            <w:bookmarkEnd w:id="78"/>
            <w:r>
              <w:rPr>
                <w:rFonts w:hint="eastAsia" w:ascii="Times New Roman" w:hAnsi="Times New Roman" w:cs="Times New Roman"/>
                <w:b/>
                <w:bCs/>
              </w:rPr>
              <w:t xml:space="preserve"> </w:t>
            </w:r>
            <w:r>
              <w:rPr>
                <w:rFonts w:ascii="Times New Roman" w:hAnsi="Times New Roman" w:cs="Times New Roman"/>
                <w:b/>
                <w:bCs/>
              </w:rPr>
              <w:t xml:space="preserve">  环保投资估算一览表</w:t>
            </w:r>
          </w:p>
          <w:tbl>
            <w:tblPr>
              <w:tblStyle w:val="25"/>
              <w:tblW w:w="9070"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51"/>
              <w:gridCol w:w="1559"/>
              <w:gridCol w:w="3827"/>
              <w:gridCol w:w="991"/>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Align w:val="center"/>
                </w:tcPr>
                <w:p>
                  <w:pPr>
                    <w:spacing w:line="340" w:lineRule="atLeast"/>
                    <w:jc w:val="center"/>
                    <w:rPr>
                      <w:rFonts w:ascii="Times New Roman" w:hAnsi="Times New Roman" w:cs="Times New Roman"/>
                      <w:b/>
                      <w:szCs w:val="21"/>
                    </w:rPr>
                  </w:pPr>
                  <w:r>
                    <w:rPr>
                      <w:rFonts w:hint="eastAsia" w:ascii="Times New Roman" w:hAnsi="Times New Roman" w:cs="Times New Roman"/>
                      <w:b/>
                      <w:szCs w:val="21"/>
                    </w:rPr>
                    <w:t>时期</w:t>
                  </w:r>
                </w:p>
              </w:tc>
              <w:tc>
                <w:tcPr>
                  <w:tcW w:w="851" w:type="dxa"/>
                  <w:vAlign w:val="center"/>
                </w:tcPr>
                <w:p>
                  <w:pPr>
                    <w:spacing w:line="340" w:lineRule="atLeast"/>
                    <w:jc w:val="center"/>
                    <w:rPr>
                      <w:rFonts w:ascii="Times New Roman" w:hAnsi="Times New Roman" w:cs="Times New Roman"/>
                      <w:b/>
                      <w:szCs w:val="21"/>
                    </w:rPr>
                  </w:pPr>
                  <w:r>
                    <w:rPr>
                      <w:rFonts w:ascii="Times New Roman" w:hAnsi="Times New Roman" w:cs="Times New Roman"/>
                      <w:b/>
                      <w:szCs w:val="21"/>
                    </w:rPr>
                    <w:t>序号</w:t>
                  </w:r>
                </w:p>
              </w:tc>
              <w:tc>
                <w:tcPr>
                  <w:tcW w:w="1559" w:type="dxa"/>
                  <w:vAlign w:val="center"/>
                </w:tcPr>
                <w:p>
                  <w:pPr>
                    <w:spacing w:line="340" w:lineRule="atLeast"/>
                    <w:jc w:val="center"/>
                    <w:rPr>
                      <w:rFonts w:ascii="Times New Roman" w:hAnsi="Times New Roman" w:cs="Times New Roman"/>
                      <w:b/>
                      <w:szCs w:val="21"/>
                    </w:rPr>
                  </w:pPr>
                  <w:r>
                    <w:rPr>
                      <w:rFonts w:ascii="Times New Roman" w:hAnsi="Times New Roman" w:cs="Times New Roman"/>
                      <w:b/>
                      <w:szCs w:val="21"/>
                    </w:rPr>
                    <w:t>内容</w:t>
                  </w:r>
                </w:p>
              </w:tc>
              <w:tc>
                <w:tcPr>
                  <w:tcW w:w="3827" w:type="dxa"/>
                  <w:vAlign w:val="center"/>
                </w:tcPr>
                <w:p>
                  <w:pPr>
                    <w:spacing w:line="340" w:lineRule="atLeast"/>
                    <w:jc w:val="center"/>
                    <w:rPr>
                      <w:rFonts w:ascii="Times New Roman" w:hAnsi="Times New Roman" w:cs="Times New Roman"/>
                      <w:b/>
                      <w:szCs w:val="21"/>
                    </w:rPr>
                  </w:pPr>
                  <w:r>
                    <w:rPr>
                      <w:rFonts w:ascii="Times New Roman" w:hAnsi="Times New Roman" w:cs="Times New Roman"/>
                      <w:b/>
                      <w:szCs w:val="21"/>
                    </w:rPr>
                    <w:t>环保措施</w:t>
                  </w:r>
                </w:p>
              </w:tc>
              <w:tc>
                <w:tcPr>
                  <w:tcW w:w="991" w:type="dxa"/>
                  <w:vAlign w:val="center"/>
                </w:tcPr>
                <w:p>
                  <w:pPr>
                    <w:spacing w:line="340" w:lineRule="atLeast"/>
                    <w:jc w:val="center"/>
                    <w:rPr>
                      <w:rFonts w:ascii="Times New Roman" w:hAnsi="Times New Roman" w:cs="Times New Roman"/>
                      <w:b/>
                      <w:szCs w:val="21"/>
                    </w:rPr>
                  </w:pPr>
                  <w:r>
                    <w:rPr>
                      <w:rFonts w:ascii="Times New Roman" w:hAnsi="Times New Roman" w:cs="Times New Roman"/>
                      <w:b/>
                      <w:szCs w:val="21"/>
                    </w:rPr>
                    <w:t>投资</w:t>
                  </w:r>
                </w:p>
                <w:p>
                  <w:pPr>
                    <w:spacing w:line="340" w:lineRule="atLeast"/>
                    <w:jc w:val="center"/>
                    <w:rPr>
                      <w:rFonts w:ascii="Times New Roman" w:hAnsi="Times New Roman" w:cs="Times New Roman"/>
                      <w:b/>
                      <w:szCs w:val="21"/>
                    </w:rPr>
                  </w:pPr>
                  <w:r>
                    <w:rPr>
                      <w:rFonts w:ascii="Times New Roman" w:hAnsi="Times New Roman" w:cs="Times New Roman"/>
                      <w:b/>
                      <w:szCs w:val="21"/>
                    </w:rPr>
                    <w:t>（万元）</w:t>
                  </w:r>
                </w:p>
              </w:tc>
              <w:tc>
                <w:tcPr>
                  <w:tcW w:w="1133" w:type="dxa"/>
                  <w:vAlign w:val="center"/>
                </w:tcPr>
                <w:p>
                  <w:pPr>
                    <w:spacing w:line="340" w:lineRule="atLeast"/>
                    <w:jc w:val="center"/>
                    <w:rPr>
                      <w:rFonts w:ascii="Times New Roman" w:hAnsi="Times New Roman" w:cs="Times New Roman"/>
                      <w:b/>
                      <w:szCs w:val="21"/>
                    </w:rPr>
                  </w:pPr>
                  <w:r>
                    <w:rPr>
                      <w:rFonts w:hint="eastAsia" w:ascii="Times New Roman" w:hAnsi="Times New Roman" w:cs="Times New Roman"/>
                      <w:b/>
                      <w:szCs w:val="21"/>
                    </w:rPr>
                    <w:t>小计</w:t>
                  </w:r>
                </w:p>
                <w:p>
                  <w:pPr>
                    <w:spacing w:line="340" w:lineRule="atLeast"/>
                    <w:jc w:val="center"/>
                    <w:rPr>
                      <w:rFonts w:ascii="Times New Roman" w:hAnsi="Times New Roman" w:cs="Times New Roman"/>
                      <w:b/>
                      <w:szCs w:val="21"/>
                    </w:rPr>
                  </w:pPr>
                  <w:r>
                    <w:rPr>
                      <w:rFonts w:hint="eastAsia" w:ascii="Times New Roman" w:hAnsi="Times New Roman" w:cs="Times New Roman"/>
                      <w:b/>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restart"/>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施工期</w:t>
                  </w: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废水治理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截排水系统、临时沉淀池</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2</w:t>
                  </w:r>
                </w:p>
              </w:tc>
              <w:tc>
                <w:tcPr>
                  <w:tcW w:w="1133" w:type="dxa"/>
                  <w:vMerge w:val="restart"/>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废气治理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人工洒水、围挡、喷雾系统</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3</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噪声治理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移动式隔声屏障、隔声屏障</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2</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固废治理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垃圾筒、施工固废处置</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2</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水土流失防治</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固废临时堆放场覆盖措施、排水设施等</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1</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restart"/>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营运期</w:t>
                  </w: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废水治理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截排水管网、生活污水化粪池、生产废水处理设施（废水沉淀池、循环水池等）及管网、洗车台</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20</w:t>
                  </w:r>
                </w:p>
              </w:tc>
              <w:tc>
                <w:tcPr>
                  <w:tcW w:w="1133" w:type="dxa"/>
                  <w:vMerge w:val="restart"/>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废气治理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移动式雾炮机、全封闭生产车间、全封闭皮带输送系统、破碎筛分工序负压集尘系统计布袋除尘器、15m高排气筒、喷雾系统、物料室内堆场</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40</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噪声治理</w:t>
                  </w:r>
                </w:p>
              </w:tc>
              <w:tc>
                <w:tcPr>
                  <w:tcW w:w="3827"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设备基础减振、</w:t>
                  </w:r>
                  <w:r>
                    <w:rPr>
                      <w:rFonts w:hint="eastAsia" w:ascii="Times New Roman" w:hAnsi="Times New Roman" w:cs="Times New Roman"/>
                      <w:szCs w:val="21"/>
                    </w:rPr>
                    <w:t>设备隔声罩、围墙</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7</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t>固废治理</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垃圾桶、废石料堆场</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10</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709" w:type="dxa"/>
                  <w:vMerge w:val="continue"/>
                  <w:vAlign w:val="center"/>
                </w:tcPr>
                <w:p>
                  <w:pPr>
                    <w:spacing w:line="340" w:lineRule="atLeast"/>
                    <w:jc w:val="center"/>
                    <w:rPr>
                      <w:rFonts w:ascii="Times New Roman" w:hAnsi="Times New Roman" w:cs="Times New Roman"/>
                      <w:szCs w:val="21"/>
                    </w:rPr>
                  </w:pPr>
                </w:p>
              </w:tc>
              <w:tc>
                <w:tcPr>
                  <w:tcW w:w="851" w:type="dxa"/>
                  <w:vAlign w:val="center"/>
                </w:tcPr>
                <w:p>
                  <w:pPr>
                    <w:pStyle w:val="53"/>
                    <w:numPr>
                      <w:ilvl w:val="0"/>
                      <w:numId w:val="18"/>
                    </w:numPr>
                    <w:spacing w:line="340" w:lineRule="atLeast"/>
                    <w:ind w:firstLineChars="0"/>
                    <w:jc w:val="center"/>
                    <w:rPr>
                      <w:rFonts w:ascii="Times New Roman" w:hAnsi="Times New Roman" w:cs="Times New Roman"/>
                      <w:szCs w:val="21"/>
                    </w:rPr>
                  </w:pPr>
                </w:p>
              </w:tc>
              <w:tc>
                <w:tcPr>
                  <w:tcW w:w="1559"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生态保护</w:t>
                  </w:r>
                </w:p>
              </w:tc>
              <w:tc>
                <w:tcPr>
                  <w:tcW w:w="3827"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厂区绿化和水土保持</w:t>
                  </w:r>
                </w:p>
              </w:tc>
              <w:tc>
                <w:tcPr>
                  <w:tcW w:w="991"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10</w:t>
                  </w:r>
                </w:p>
              </w:tc>
              <w:tc>
                <w:tcPr>
                  <w:tcW w:w="1133" w:type="dxa"/>
                  <w:vMerge w:val="continue"/>
                  <w:vAlign w:val="center"/>
                </w:tcPr>
                <w:p>
                  <w:pPr>
                    <w:spacing w:line="3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right"/>
              </w:trPr>
              <w:tc>
                <w:tcPr>
                  <w:tcW w:w="6946" w:type="dxa"/>
                  <w:gridSpan w:val="4"/>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合计</w:t>
                  </w:r>
                </w:p>
              </w:tc>
              <w:tc>
                <w:tcPr>
                  <w:tcW w:w="991" w:type="dxa"/>
                  <w:vAlign w:val="center"/>
                </w:tcPr>
                <w:p>
                  <w:pPr>
                    <w:spacing w:line="340" w:lineRule="atLeast"/>
                    <w:jc w:val="center"/>
                    <w:rPr>
                      <w:rFonts w:ascii="Times New Roman" w:hAnsi="Times New Roman" w:cs="Times New Roman"/>
                      <w:szCs w:val="21"/>
                    </w:rPr>
                  </w:pPr>
                  <w:r>
                    <w:rPr>
                      <w:rFonts w:ascii="Times New Roman" w:hAnsi="Times New Roman" w:cs="Times New Roman"/>
                      <w:szCs w:val="21"/>
                    </w:rPr>
                    <w:fldChar w:fldCharType="begin"/>
                  </w:r>
                  <w:r>
                    <w:rPr>
                      <w:rFonts w:ascii="Times New Roman" w:hAnsi="Times New Roman" w:cs="Times New Roman"/>
                      <w:szCs w:val="21"/>
                    </w:rPr>
                    <w:instrText xml:space="preserve"> =SUM(ABOVE) </w:instrText>
                  </w:r>
                  <w:r>
                    <w:rPr>
                      <w:rFonts w:ascii="Times New Roman" w:hAnsi="Times New Roman" w:cs="Times New Roman"/>
                      <w:szCs w:val="21"/>
                    </w:rPr>
                    <w:fldChar w:fldCharType="separate"/>
                  </w:r>
                  <w:r>
                    <w:rPr>
                      <w:rFonts w:ascii="Times New Roman" w:hAnsi="Times New Roman" w:cs="Times New Roman"/>
                      <w:szCs w:val="21"/>
                    </w:rPr>
                    <w:t>97</w:t>
                  </w:r>
                  <w:r>
                    <w:rPr>
                      <w:rFonts w:ascii="Times New Roman" w:hAnsi="Times New Roman" w:cs="Times New Roman"/>
                      <w:szCs w:val="21"/>
                    </w:rPr>
                    <w:fldChar w:fldCharType="end"/>
                  </w:r>
                </w:p>
              </w:tc>
              <w:tc>
                <w:tcPr>
                  <w:tcW w:w="1133" w:type="dxa"/>
                  <w:vAlign w:val="center"/>
                </w:tcPr>
                <w:p>
                  <w:pPr>
                    <w:spacing w:line="340" w:lineRule="atLeast"/>
                    <w:jc w:val="center"/>
                    <w:rPr>
                      <w:rFonts w:ascii="Times New Roman" w:hAnsi="Times New Roman" w:cs="Times New Roman"/>
                      <w:szCs w:val="21"/>
                    </w:rPr>
                  </w:pPr>
                  <w:r>
                    <w:rPr>
                      <w:rFonts w:hint="eastAsia" w:ascii="Times New Roman" w:hAnsi="Times New Roman" w:cs="Times New Roman"/>
                      <w:szCs w:val="21"/>
                    </w:rPr>
                    <w:t>97</w:t>
                  </w:r>
                </w:p>
              </w:tc>
            </w:tr>
          </w:tbl>
          <w:p>
            <w:pPr>
              <w:spacing w:before="156" w:beforeLines="50"/>
              <w:ind w:firstLine="498"/>
              <w:rPr>
                <w:rFonts w:ascii="Times New Roman" w:hAnsi="Times New Roman" w:eastAsia="宋体" w:cs="Times New Roman"/>
                <w:b/>
                <w:sz w:val="24"/>
              </w:rPr>
            </w:pPr>
            <w:r>
              <w:rPr>
                <w:rFonts w:hint="eastAsia" w:ascii="Times New Roman" w:hAnsi="Times New Roman" w:eastAsia="宋体" w:cs="Times New Roman"/>
                <w:b/>
                <w:sz w:val="24"/>
              </w:rPr>
              <w:t>7.2.10项目环保</w:t>
            </w:r>
            <w:r>
              <w:rPr>
                <w:rFonts w:ascii="Times New Roman" w:hAnsi="Times New Roman" w:eastAsia="宋体" w:cs="Times New Roman"/>
                <w:b/>
                <w:sz w:val="24"/>
              </w:rPr>
              <w:t>验收清单</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rPr>
              <w:t>环保</w:t>
            </w:r>
            <w:r>
              <w:rPr>
                <w:rFonts w:ascii="Times New Roman" w:hAnsi="Times New Roman" w:cs="Times New Roman"/>
                <w:sz w:val="24"/>
              </w:rPr>
              <w:t>验收清单见</w:t>
            </w:r>
            <w:r>
              <w:rPr>
                <w:rFonts w:ascii="Times New Roman" w:hAnsi="Times New Roman" w:cs="Times New Roman"/>
                <w:sz w:val="24"/>
              </w:rPr>
              <w:fldChar w:fldCharType="begin"/>
            </w:r>
            <w:r>
              <w:rPr>
                <w:rFonts w:ascii="Times New Roman" w:hAnsi="Times New Roman" w:cs="Times New Roman"/>
                <w:sz w:val="24"/>
              </w:rPr>
              <w:instrText xml:space="preserve"> REF _Ref493247706 \h  \* MERGEFORMAT </w:instrText>
            </w:r>
            <w:r>
              <w:rPr>
                <w:rFonts w:ascii="Times New Roman" w:hAnsi="Times New Roman" w:cs="Times New Roman"/>
                <w:sz w:val="24"/>
              </w:rPr>
              <w:fldChar w:fldCharType="separate"/>
            </w:r>
            <w:r>
              <w:rPr>
                <w:rFonts w:hint="eastAsia" w:ascii="Times New Roman" w:hAnsi="Times New Roman" w:cs="Times New Roman"/>
                <w:sz w:val="24"/>
              </w:rPr>
              <w:t>表7-</w:t>
            </w:r>
            <w:r>
              <w:rPr>
                <w:rFonts w:ascii="Times New Roman" w:hAnsi="Times New Roman" w:cs="Times New Roman"/>
                <w:sz w:val="24"/>
              </w:rPr>
              <w:t>29</w:t>
            </w:r>
            <w:r>
              <w:rPr>
                <w:rFonts w:ascii="Times New Roman" w:hAnsi="Times New Roman" w:cs="Times New Roman"/>
                <w:sz w:val="24"/>
              </w:rPr>
              <w:fldChar w:fldCharType="end"/>
            </w:r>
            <w:r>
              <w:rPr>
                <w:rFonts w:hint="eastAsia" w:ascii="Times New Roman" w:hAnsi="Times New Roman" w:cs="Times New Roman"/>
                <w:sz w:val="24"/>
              </w:rPr>
              <w:t>。</w:t>
            </w:r>
          </w:p>
          <w:p>
            <w:pPr>
              <w:spacing w:line="360" w:lineRule="auto"/>
              <w:jc w:val="center"/>
              <w:rPr>
                <w:rFonts w:ascii="Times New Roman" w:hAnsi="Times New Roman" w:cs="Times New Roman"/>
                <w:b/>
                <w:bCs/>
              </w:rPr>
            </w:pPr>
            <w:bookmarkStart w:id="79" w:name="_Ref493247706"/>
            <w:r>
              <w:rPr>
                <w:rFonts w:hint="eastAsia" w:ascii="Times New Roman" w:hAnsi="Times New Roman" w:cs="Times New Roman"/>
                <w:b/>
                <w:bCs/>
              </w:rPr>
              <w:t>表7-</w:t>
            </w:r>
            <w:r>
              <w:rPr>
                <w:rFonts w:ascii="Times New Roman" w:hAnsi="Times New Roman" w:cs="Times New Roman"/>
                <w:b/>
                <w:bCs/>
              </w:rPr>
              <w:fldChar w:fldCharType="begin"/>
            </w:r>
            <w:r>
              <w:rPr>
                <w:rFonts w:ascii="Times New Roman" w:hAnsi="Times New Roman" w:cs="Times New Roman"/>
                <w:b/>
                <w:bCs/>
              </w:rPr>
              <w:instrText xml:space="preserve"> </w:instrText>
            </w:r>
            <w:r>
              <w:rPr>
                <w:rFonts w:hint="eastAsia" w:ascii="Times New Roman" w:hAnsi="Times New Roman" w:cs="Times New Roman"/>
                <w:b/>
                <w:bCs/>
              </w:rPr>
              <w:instrText xml:space="preserve">SEQ 表7- \* ARABIC</w:instrText>
            </w:r>
            <w:r>
              <w:rPr>
                <w:rFonts w:ascii="Times New Roman" w:hAnsi="Times New Roman" w:cs="Times New Roman"/>
                <w:b/>
                <w:bCs/>
              </w:rPr>
              <w:instrText xml:space="preserve"> </w:instrText>
            </w:r>
            <w:r>
              <w:rPr>
                <w:rFonts w:ascii="Times New Roman" w:hAnsi="Times New Roman" w:cs="Times New Roman"/>
                <w:b/>
                <w:bCs/>
              </w:rPr>
              <w:fldChar w:fldCharType="separate"/>
            </w:r>
            <w:r>
              <w:rPr>
                <w:rFonts w:ascii="Times New Roman" w:hAnsi="Times New Roman" w:cs="Times New Roman"/>
                <w:b/>
                <w:bCs/>
              </w:rPr>
              <w:t>29</w:t>
            </w:r>
            <w:r>
              <w:rPr>
                <w:rFonts w:ascii="Times New Roman" w:hAnsi="Times New Roman" w:cs="Times New Roman"/>
                <w:b/>
                <w:bCs/>
              </w:rPr>
              <w:fldChar w:fldCharType="end"/>
            </w:r>
            <w:bookmarkEnd w:id="79"/>
            <w:r>
              <w:rPr>
                <w:rFonts w:hint="eastAsia" w:ascii="Times New Roman" w:hAnsi="Times New Roman" w:cs="Times New Roman"/>
                <w:b/>
                <w:bCs/>
              </w:rPr>
              <w:t xml:space="preserve"> </w:t>
            </w:r>
            <w:r>
              <w:rPr>
                <w:rFonts w:ascii="Times New Roman" w:hAnsi="Times New Roman" w:cs="Times New Roman"/>
                <w:b/>
                <w:bCs/>
              </w:rPr>
              <w:t xml:space="preserve">  </w:t>
            </w:r>
            <w:r>
              <w:rPr>
                <w:rFonts w:hint="eastAsia" w:ascii="Times New Roman" w:hAnsi="Times New Roman" w:cs="Times New Roman"/>
                <w:b/>
                <w:bCs/>
              </w:rPr>
              <w:t>环保</w:t>
            </w:r>
            <w:r>
              <w:rPr>
                <w:rFonts w:ascii="Times New Roman" w:hAnsi="Times New Roman" w:cs="Times New Roman"/>
                <w:b/>
                <w:bCs/>
              </w:rPr>
              <w:t>验收</w:t>
            </w:r>
            <w:r>
              <w:rPr>
                <w:rFonts w:hint="eastAsia" w:ascii="Times New Roman" w:hAnsi="Times New Roman" w:cs="Times New Roman"/>
                <w:b/>
                <w:bCs/>
              </w:rPr>
              <w:t>内容</w:t>
            </w:r>
            <w:r>
              <w:rPr>
                <w:rFonts w:ascii="Times New Roman" w:hAnsi="Times New Roman" w:cs="Times New Roman"/>
                <w:b/>
                <w:bCs/>
              </w:rPr>
              <w:t>一览表</w:t>
            </w:r>
          </w:p>
          <w:tbl>
            <w:tblPr>
              <w:tblStyle w:val="25"/>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8"/>
              <w:gridCol w:w="1336"/>
              <w:gridCol w:w="1575"/>
              <w:gridCol w:w="3402"/>
              <w:gridCol w:w="2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blHeader/>
              </w:trPr>
              <w:tc>
                <w:tcPr>
                  <w:tcW w:w="618" w:type="dxa"/>
                  <w:vAlign w:val="center"/>
                </w:tcPr>
                <w:p>
                  <w:pPr>
                    <w:pStyle w:val="48"/>
                    <w:spacing w:after="0"/>
                    <w:rPr>
                      <w:rFonts w:ascii="Times New Roman" w:hAnsi="Times New Roman" w:cs="Times New Roman"/>
                      <w:b/>
                      <w:bCs/>
                    </w:rPr>
                  </w:pPr>
                  <w:r>
                    <w:rPr>
                      <w:rFonts w:ascii="Times New Roman" w:hAnsi="Times New Roman" w:cs="Times New Roman"/>
                      <w:b/>
                      <w:bCs/>
                    </w:rPr>
                    <w:t>项目</w:t>
                  </w:r>
                </w:p>
              </w:tc>
              <w:tc>
                <w:tcPr>
                  <w:tcW w:w="1336" w:type="dxa"/>
                  <w:vAlign w:val="center"/>
                </w:tcPr>
                <w:p>
                  <w:pPr>
                    <w:pStyle w:val="48"/>
                    <w:spacing w:after="0"/>
                    <w:rPr>
                      <w:rFonts w:ascii="Times New Roman" w:hAnsi="Times New Roman" w:cs="Times New Roman"/>
                      <w:b/>
                      <w:bCs/>
                    </w:rPr>
                  </w:pPr>
                  <w:r>
                    <w:rPr>
                      <w:rFonts w:hint="eastAsia" w:ascii="Times New Roman" w:hAnsi="Times New Roman" w:cs="Times New Roman"/>
                      <w:b/>
                      <w:bCs/>
                    </w:rPr>
                    <w:t>污染源</w:t>
                  </w:r>
                </w:p>
              </w:tc>
              <w:tc>
                <w:tcPr>
                  <w:tcW w:w="1575" w:type="dxa"/>
                  <w:vAlign w:val="center"/>
                </w:tcPr>
                <w:p>
                  <w:pPr>
                    <w:pStyle w:val="48"/>
                    <w:spacing w:after="0"/>
                    <w:rPr>
                      <w:rFonts w:ascii="Times New Roman" w:hAnsi="Times New Roman" w:cs="Times New Roman"/>
                      <w:b/>
                      <w:bCs/>
                    </w:rPr>
                  </w:pPr>
                  <w:r>
                    <w:rPr>
                      <w:rFonts w:hint="eastAsia" w:ascii="Times New Roman" w:hAnsi="Times New Roman" w:cs="Times New Roman"/>
                      <w:b/>
                      <w:bCs/>
                    </w:rPr>
                    <w:t>监测项目</w:t>
                  </w:r>
                </w:p>
              </w:tc>
              <w:tc>
                <w:tcPr>
                  <w:tcW w:w="3402" w:type="dxa"/>
                  <w:vAlign w:val="center"/>
                </w:tcPr>
                <w:p>
                  <w:pPr>
                    <w:pStyle w:val="48"/>
                    <w:spacing w:after="0"/>
                    <w:rPr>
                      <w:rFonts w:ascii="Times New Roman" w:hAnsi="Times New Roman" w:cs="Times New Roman"/>
                      <w:b/>
                      <w:bCs/>
                    </w:rPr>
                  </w:pPr>
                  <w:r>
                    <w:rPr>
                      <w:rFonts w:ascii="Times New Roman" w:hAnsi="Times New Roman" w:cs="Times New Roman"/>
                      <w:b/>
                      <w:bCs/>
                    </w:rPr>
                    <w:t>环保设施或措施内容</w:t>
                  </w:r>
                </w:p>
              </w:tc>
              <w:tc>
                <w:tcPr>
                  <w:tcW w:w="2109" w:type="dxa"/>
                  <w:vAlign w:val="center"/>
                </w:tcPr>
                <w:p>
                  <w:pPr>
                    <w:pStyle w:val="48"/>
                    <w:spacing w:after="0"/>
                    <w:rPr>
                      <w:rFonts w:ascii="Times New Roman" w:hAnsi="Times New Roman" w:cs="Times New Roman"/>
                      <w:b/>
                      <w:bCs/>
                    </w:rPr>
                  </w:pPr>
                  <w:r>
                    <w:rPr>
                      <w:rFonts w:ascii="Times New Roman" w:hAnsi="Times New Roman" w:cs="Times New Roman"/>
                      <w:b/>
                      <w:bCs/>
                    </w:rPr>
                    <w:t>治理效果或执行标准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restart"/>
                  <w:vAlign w:val="center"/>
                </w:tcPr>
                <w:p>
                  <w:pPr>
                    <w:pStyle w:val="48"/>
                    <w:spacing w:after="0"/>
                    <w:rPr>
                      <w:rFonts w:ascii="Times New Roman" w:hAnsi="Times New Roman" w:cs="Times New Roman"/>
                    </w:rPr>
                  </w:pPr>
                  <w:r>
                    <w:rPr>
                      <w:rFonts w:hint="eastAsia" w:ascii="Times New Roman" w:hAnsi="Times New Roman" w:cs="Times New Roman"/>
                    </w:rPr>
                    <w:t>水污染防治</w:t>
                  </w:r>
                </w:p>
              </w:tc>
              <w:tc>
                <w:tcPr>
                  <w:tcW w:w="1336" w:type="dxa"/>
                  <w:vAlign w:val="center"/>
                </w:tcPr>
                <w:p>
                  <w:pPr>
                    <w:pStyle w:val="48"/>
                    <w:spacing w:after="0"/>
                    <w:rPr>
                      <w:rFonts w:ascii="Times New Roman" w:hAnsi="Times New Roman" w:cs="Times New Roman"/>
                    </w:rPr>
                  </w:pPr>
                  <w:r>
                    <w:rPr>
                      <w:rFonts w:ascii="Times New Roman" w:hAnsi="Times New Roman" w:cs="Times New Roman"/>
                    </w:rPr>
                    <w:t>生活污水</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pH、</w:t>
                  </w:r>
                  <w:r>
                    <w:rPr>
                      <w:rFonts w:ascii="Times New Roman" w:hAnsi="Times New Roman" w:cs="Times New Roman"/>
                    </w:rPr>
                    <w:t>COD</w:t>
                  </w:r>
                  <w:r>
                    <w:rPr>
                      <w:rFonts w:ascii="Times New Roman" w:hAnsi="Times New Roman" w:cs="Times New Roman"/>
                      <w:vertAlign w:val="subscript"/>
                    </w:rPr>
                    <w:t>Cr</w:t>
                  </w:r>
                  <w:r>
                    <w:rPr>
                      <w:rFonts w:hint="eastAsia" w:ascii="Times New Roman" w:hAnsi="Times New Roman" w:cs="Times New Roman"/>
                    </w:rPr>
                    <w:t>、</w:t>
                  </w:r>
                  <w:r>
                    <w:rPr>
                      <w:rFonts w:ascii="Times New Roman" w:hAnsi="Times New Roman" w:cs="Times New Roman"/>
                    </w:rPr>
                    <w:t>BOD</w:t>
                  </w:r>
                  <w:r>
                    <w:rPr>
                      <w:rFonts w:ascii="Times New Roman" w:hAnsi="Times New Roman" w:cs="Times New Roman"/>
                      <w:vertAlign w:val="subscript"/>
                    </w:rPr>
                    <w:t>5</w:t>
                  </w:r>
                  <w:r>
                    <w:rPr>
                      <w:rFonts w:hint="eastAsia"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r>
                    <w:rPr>
                      <w:rFonts w:hint="eastAsia" w:ascii="Times New Roman" w:hAnsi="Times New Roman" w:cs="Times New Roman"/>
                    </w:rPr>
                    <w:t>、</w:t>
                  </w:r>
                  <w:r>
                    <w:rPr>
                      <w:rFonts w:ascii="Times New Roman" w:hAnsi="Times New Roman" w:cs="Times New Roman"/>
                    </w:rPr>
                    <w:t>SS</w:t>
                  </w:r>
                  <w:r>
                    <w:rPr>
                      <w:rFonts w:hint="eastAsia" w:ascii="Times New Roman" w:hAnsi="Times New Roman" w:cs="Times New Roman"/>
                    </w:rPr>
                    <w:t>、动植物油</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化粪池和管网（1套）</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经化粪池处理后用作农肥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生产废水和地表径流水</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SS</w:t>
                  </w:r>
                  <w:r>
                    <w:rPr>
                      <w:rFonts w:ascii="Times New Roman" w:hAnsi="Times New Roman" w:cs="Times New Roman"/>
                    </w:rPr>
                    <w:t xml:space="preserve"> </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沉淀池（1个）、循环水池（1个）、洗车台（1个）、截排水管网和污水管网（1套）</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废水经处理后回用于生产，不外排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restart"/>
                  <w:vAlign w:val="center"/>
                </w:tcPr>
                <w:p>
                  <w:pPr>
                    <w:pStyle w:val="48"/>
                    <w:spacing w:after="0"/>
                    <w:rPr>
                      <w:rFonts w:ascii="Times New Roman" w:hAnsi="Times New Roman" w:cs="Times New Roman"/>
                    </w:rPr>
                  </w:pPr>
                  <w:r>
                    <w:rPr>
                      <w:rFonts w:hint="eastAsia" w:ascii="Times New Roman" w:hAnsi="Times New Roman" w:cs="Times New Roman"/>
                    </w:rPr>
                    <w:t>大气污染防治</w:t>
                  </w: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场地扬尘</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颗粒物</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配备移动式抑尘雾炮机，定期对场区道路等区域进行喷雾抑尘；建设物料室内堆场（禁止露天堆放），并在堆场、投料口、输送皮带处安装雾化喷头进行降尘，对输送皮带进行全封闭。对道路地面进行硬化并洒水抑尘，加强运输管理，汽车加盖篷布，对出场车辆轮胎进行清洗</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《大气污染物综合排放标准》（GB16297-1996）表2中无组织排放监控浓度限值标准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破碎和筛分粉尘</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颗粒物</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砂石骨料生产线配套集尘系统和布袋除尘装置，粉尘经处理后经15m高排气筒排放。对输送皮带进行全封闭，建设全封闭的生产厂房和室内堆场，并安装自动喷雾装置进行降尘</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《大气污染物综合排放标准》（GB16297-1996）表2中二级标准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Align w:val="center"/>
                </w:tcPr>
                <w:p>
                  <w:pPr>
                    <w:pStyle w:val="48"/>
                    <w:spacing w:after="0"/>
                    <w:rPr>
                      <w:rFonts w:ascii="Times New Roman" w:hAnsi="Times New Roman" w:cs="Times New Roman"/>
                    </w:rPr>
                  </w:pPr>
                  <w:r>
                    <w:rPr>
                      <w:rFonts w:ascii="Times New Roman" w:hAnsi="Times New Roman" w:cs="Times New Roman"/>
                    </w:rPr>
                    <w:t>噪</w:t>
                  </w:r>
                </w:p>
                <w:p>
                  <w:pPr>
                    <w:pStyle w:val="48"/>
                    <w:spacing w:after="0"/>
                    <w:rPr>
                      <w:rFonts w:ascii="Times New Roman" w:hAnsi="Times New Roman" w:cs="Times New Roman"/>
                    </w:rPr>
                  </w:pPr>
                  <w:r>
                    <w:rPr>
                      <w:rFonts w:ascii="Times New Roman" w:hAnsi="Times New Roman" w:cs="Times New Roman"/>
                    </w:rPr>
                    <w:t>声</w:t>
                  </w: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生产设备和道路运输</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厂界噪声</w:t>
                  </w:r>
                </w:p>
              </w:tc>
              <w:tc>
                <w:tcPr>
                  <w:tcW w:w="3402" w:type="dxa"/>
                  <w:vAlign w:val="center"/>
                </w:tcPr>
                <w:p>
                  <w:pPr>
                    <w:pStyle w:val="48"/>
                    <w:spacing w:after="0"/>
                    <w:rPr>
                      <w:rFonts w:ascii="Times New Roman" w:hAnsi="Times New Roman" w:cs="Times New Roman"/>
                      <w:kern w:val="0"/>
                    </w:rPr>
                  </w:pPr>
                  <w:r>
                    <w:rPr>
                      <w:rFonts w:hint="eastAsia" w:ascii="Times New Roman" w:hAnsi="Times New Roman" w:cs="Times New Roman"/>
                    </w:rPr>
                    <w:t>选用低噪声设备；对固定高噪声设备安装隔声罩和减震垫，厂区四周设置围墙等隔声屏障（高于生产设备）；加强设备保养维护；运输车辆经村民区限速限载、禁鸣等</w:t>
                  </w:r>
                </w:p>
              </w:tc>
              <w:tc>
                <w:tcPr>
                  <w:tcW w:w="2109" w:type="dxa"/>
                  <w:vAlign w:val="center"/>
                </w:tcPr>
                <w:p>
                  <w:pPr>
                    <w:pStyle w:val="48"/>
                    <w:spacing w:after="0"/>
                    <w:rPr>
                      <w:rFonts w:ascii="Times New Roman" w:hAnsi="Times New Roman" w:cs="Times New Roman"/>
                    </w:rPr>
                  </w:pPr>
                  <w:r>
                    <w:rPr>
                      <w:rFonts w:ascii="Times New Roman" w:hAnsi="Times New Roman" w:cs="Times New Roman"/>
                      <w:kern w:val="0"/>
                    </w:rPr>
                    <w:t>《工业企业厂界环境噪声排放标准》</w:t>
                  </w:r>
                  <w:r>
                    <w:rPr>
                      <w:rFonts w:hint="eastAsia" w:ascii="Times New Roman" w:hAnsi="Times New Roman" w:cs="Times New Roman"/>
                      <w:kern w:val="0"/>
                    </w:rPr>
                    <w:t>（GB12348-2008）2</w:t>
                  </w:r>
                  <w:r>
                    <w:rPr>
                      <w:rFonts w:ascii="Times New Roman" w:hAnsi="Times New Roman" w:cs="Times New Roman"/>
                      <w:kern w:val="0"/>
                    </w:rPr>
                    <w:t>类</w:t>
                  </w:r>
                  <w:r>
                    <w:rPr>
                      <w:rFonts w:hint="eastAsia" w:ascii="Times New Roman" w:hAnsi="Times New Roman" w:cs="Times New Roman"/>
                      <w:kern w:val="0"/>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restart"/>
                  <w:vAlign w:val="center"/>
                </w:tcPr>
                <w:p>
                  <w:pPr>
                    <w:pStyle w:val="48"/>
                    <w:spacing w:after="0"/>
                    <w:rPr>
                      <w:rFonts w:ascii="Times New Roman" w:hAnsi="Times New Roman" w:cs="Times New Roman"/>
                    </w:rPr>
                  </w:pPr>
                  <w:r>
                    <w:rPr>
                      <w:rFonts w:ascii="Times New Roman" w:hAnsi="Times New Roman" w:cs="Times New Roman"/>
                    </w:rPr>
                    <w:t>固废</w:t>
                  </w:r>
                  <w:r>
                    <w:rPr>
                      <w:rFonts w:hint="eastAsia" w:ascii="Times New Roman" w:hAnsi="Times New Roman" w:cs="Times New Roman"/>
                    </w:rPr>
                    <w:t>污染防治</w:t>
                  </w: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石材加工边角料</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用作本项目砂石生产原料</w:t>
                  </w:r>
                </w:p>
              </w:tc>
              <w:tc>
                <w:tcPr>
                  <w:tcW w:w="2109" w:type="dxa"/>
                  <w:vMerge w:val="restart"/>
                  <w:vAlign w:val="center"/>
                </w:tcPr>
                <w:p>
                  <w:pPr>
                    <w:pStyle w:val="48"/>
                    <w:spacing w:after="0"/>
                    <w:rPr>
                      <w:rFonts w:ascii="Times New Roman" w:hAnsi="Times New Roman" w:cs="Times New Roman"/>
                    </w:rPr>
                  </w:pPr>
                  <w:r>
                    <w:rPr>
                      <w:rFonts w:hint="eastAsia" w:ascii="Times New Roman" w:hAnsi="Times New Roman" w:cs="Times New Roman"/>
                    </w:rPr>
                    <w:t>《一般工业固体废物贮存、处置场污染控制标准》（GB18599-2001）中的相关要求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除尘器收集粉尘（石粉）</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与砂石产品一同外售</w:t>
                  </w:r>
                </w:p>
              </w:tc>
              <w:tc>
                <w:tcPr>
                  <w:tcW w:w="2109" w:type="dxa"/>
                  <w:vMerge w:val="continue"/>
                  <w:vAlign w:val="center"/>
                </w:tcPr>
                <w:p>
                  <w:pPr>
                    <w:pStyle w:val="48"/>
                    <w:spacing w:after="0"/>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pStyle w:val="48"/>
                    <w:spacing w:after="0"/>
                    <w:rPr>
                      <w:rFonts w:ascii="Times New Roman" w:hAnsi="Times New Roman" w:cs="Times New Roman"/>
                    </w:rPr>
                  </w:pPr>
                  <w:r>
                    <w:rPr>
                      <w:rFonts w:hint="eastAsia" w:ascii="Times New Roman" w:hAnsi="Times New Roman" w:cs="Times New Roman"/>
                    </w:rPr>
                    <w:t>沉淀池沉渣（石粉）</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与砂石产品一同外售</w:t>
                  </w:r>
                </w:p>
              </w:tc>
              <w:tc>
                <w:tcPr>
                  <w:tcW w:w="2109" w:type="dxa"/>
                  <w:vMerge w:val="continue"/>
                  <w:vAlign w:val="center"/>
                </w:tcPr>
                <w:p>
                  <w:pPr>
                    <w:pStyle w:val="48"/>
                    <w:spacing w:after="0"/>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adjustRightInd w:val="0"/>
                    <w:snapToGrid w:val="0"/>
                    <w:jc w:val="center"/>
                    <w:rPr>
                      <w:rFonts w:ascii="Times New Roman" w:hAnsi="Times New Roman" w:cs="Times New Roman"/>
                    </w:rPr>
                  </w:pPr>
                  <w:r>
                    <w:rPr>
                      <w:rFonts w:ascii="Times New Roman" w:hAnsi="Times New Roman" w:cs="Times New Roman"/>
                    </w:rPr>
                    <w:t>生活垃圾</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垃圾桶收集后交由环卫部门清运处置</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无害化处置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Merge w:val="continue"/>
                  <w:vAlign w:val="center"/>
                </w:tcPr>
                <w:p>
                  <w:pPr>
                    <w:pStyle w:val="48"/>
                    <w:spacing w:after="0"/>
                    <w:rPr>
                      <w:rFonts w:ascii="Times New Roman" w:hAnsi="Times New Roman" w:cs="Times New Roman"/>
                    </w:rPr>
                  </w:pPr>
                </w:p>
              </w:tc>
              <w:tc>
                <w:tcPr>
                  <w:tcW w:w="1336" w:type="dxa"/>
                  <w:vAlign w:val="center"/>
                </w:tcPr>
                <w:p>
                  <w:pPr>
                    <w:adjustRightInd w:val="0"/>
                    <w:snapToGrid w:val="0"/>
                    <w:spacing w:line="260" w:lineRule="exact"/>
                    <w:jc w:val="center"/>
                    <w:rPr>
                      <w:rFonts w:ascii="Times New Roman" w:hAnsi="Times New Roman" w:cs="Times New Roman"/>
                    </w:rPr>
                  </w:pPr>
                  <w:r>
                    <w:rPr>
                      <w:rFonts w:hint="eastAsia" w:ascii="Times New Roman" w:hAnsi="Times New Roman" w:cs="Times New Roman"/>
                    </w:rPr>
                    <w:t>危险废物</w:t>
                  </w:r>
                </w:p>
              </w:tc>
              <w:tc>
                <w:tcPr>
                  <w:tcW w:w="1575" w:type="dxa"/>
                  <w:vAlign w:val="center"/>
                </w:tcPr>
                <w:p>
                  <w:pPr>
                    <w:pStyle w:val="48"/>
                    <w:spacing w:after="0" w:line="260" w:lineRule="exact"/>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line="260" w:lineRule="exact"/>
                    <w:rPr>
                      <w:rFonts w:ascii="Times New Roman" w:hAnsi="Times New Roman" w:cs="Times New Roman"/>
                    </w:rPr>
                  </w:pPr>
                  <w:r>
                    <w:rPr>
                      <w:rFonts w:hint="eastAsia" w:ascii="Times New Roman" w:hAnsi="Times New Roman" w:cs="Times New Roman"/>
                    </w:rPr>
                    <w:t>设立危废暂存间，定期交由有资质单位处置</w:t>
                  </w:r>
                </w:p>
              </w:tc>
              <w:tc>
                <w:tcPr>
                  <w:tcW w:w="2109" w:type="dxa"/>
                  <w:vAlign w:val="center"/>
                </w:tcPr>
                <w:p>
                  <w:pPr>
                    <w:pStyle w:val="48"/>
                    <w:spacing w:after="0" w:line="260" w:lineRule="exact"/>
                    <w:rPr>
                      <w:rFonts w:ascii="Times New Roman" w:hAnsi="Times New Roman" w:cs="Times New Roman"/>
                    </w:rPr>
                  </w:pPr>
                  <w:r>
                    <w:rPr>
                      <w:rFonts w:hint="eastAsia" w:ascii="Times New Roman" w:hAnsi="Times New Roman" w:cs="Times New Roman"/>
                    </w:rPr>
                    <w:t>无害化处置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618" w:type="dxa"/>
                  <w:vAlign w:val="center"/>
                </w:tcPr>
                <w:p>
                  <w:pPr>
                    <w:pStyle w:val="48"/>
                    <w:spacing w:after="0"/>
                    <w:rPr>
                      <w:rFonts w:ascii="Times New Roman" w:hAnsi="Times New Roman" w:cs="Times New Roman"/>
                    </w:rPr>
                  </w:pPr>
                  <w:r>
                    <w:rPr>
                      <w:rFonts w:hint="eastAsia" w:ascii="Times New Roman" w:hAnsi="Times New Roman" w:cs="Times New Roman"/>
                    </w:rPr>
                    <w:t>生态</w:t>
                  </w:r>
                </w:p>
              </w:tc>
              <w:tc>
                <w:tcPr>
                  <w:tcW w:w="1336" w:type="dxa"/>
                  <w:vAlign w:val="center"/>
                </w:tcPr>
                <w:p>
                  <w:pPr>
                    <w:adjustRightInd w:val="0"/>
                    <w:snapToGrid w:val="0"/>
                    <w:jc w:val="center"/>
                    <w:rPr>
                      <w:rFonts w:ascii="Times New Roman" w:hAnsi="Times New Roman" w:cs="Times New Roman"/>
                    </w:rPr>
                  </w:pPr>
                  <w:r>
                    <w:rPr>
                      <w:rFonts w:hint="eastAsia" w:ascii="Times New Roman" w:hAnsi="Times New Roman" w:cs="Times New Roman"/>
                    </w:rPr>
                    <w:t>/</w:t>
                  </w:r>
                </w:p>
              </w:tc>
              <w:tc>
                <w:tcPr>
                  <w:tcW w:w="1575" w:type="dxa"/>
                  <w:vAlign w:val="center"/>
                </w:tcPr>
                <w:p>
                  <w:pPr>
                    <w:pStyle w:val="48"/>
                    <w:spacing w:after="0"/>
                    <w:rPr>
                      <w:rFonts w:ascii="Times New Roman" w:hAnsi="Times New Roman" w:cs="Times New Roman"/>
                    </w:rPr>
                  </w:pPr>
                  <w:r>
                    <w:rPr>
                      <w:rFonts w:hint="eastAsia" w:ascii="Times New Roman" w:hAnsi="Times New Roman" w:cs="Times New Roman"/>
                    </w:rPr>
                    <w:t>/</w:t>
                  </w:r>
                </w:p>
              </w:tc>
              <w:tc>
                <w:tcPr>
                  <w:tcW w:w="3402" w:type="dxa"/>
                  <w:vAlign w:val="center"/>
                </w:tcPr>
                <w:p>
                  <w:pPr>
                    <w:pStyle w:val="48"/>
                    <w:spacing w:after="0"/>
                    <w:rPr>
                      <w:rFonts w:ascii="Times New Roman" w:hAnsi="Times New Roman" w:cs="Times New Roman"/>
                    </w:rPr>
                  </w:pPr>
                  <w:r>
                    <w:rPr>
                      <w:rFonts w:hint="eastAsia" w:ascii="Times New Roman" w:hAnsi="Times New Roman" w:cs="Times New Roman"/>
                    </w:rPr>
                    <w:t>厂区水土保持和场地绿化</w:t>
                  </w:r>
                </w:p>
              </w:tc>
              <w:tc>
                <w:tcPr>
                  <w:tcW w:w="2109" w:type="dxa"/>
                  <w:vAlign w:val="center"/>
                </w:tcPr>
                <w:p>
                  <w:pPr>
                    <w:pStyle w:val="48"/>
                    <w:spacing w:after="0"/>
                    <w:rPr>
                      <w:rFonts w:ascii="Times New Roman" w:hAnsi="Times New Roman" w:cs="Times New Roman"/>
                    </w:rPr>
                  </w:pPr>
                  <w:r>
                    <w:rPr>
                      <w:rFonts w:hint="eastAsia" w:ascii="Times New Roman" w:hAnsi="Times New Roman" w:cs="Times New Roman"/>
                    </w:rPr>
                    <w:t>厂区无明显水土流失</w:t>
                  </w:r>
                </w:p>
              </w:tc>
            </w:tr>
          </w:tbl>
          <w:p>
            <w:pPr>
              <w:pStyle w:val="31"/>
              <w:ind w:firstLine="482"/>
              <w:rPr>
                <w:rFonts w:cs="Times New Roman"/>
                <w:b/>
                <w:color w:val="auto"/>
              </w:rPr>
            </w:pPr>
            <w:r>
              <w:rPr>
                <w:rFonts w:hint="eastAsia" w:cs="Times New Roman"/>
                <w:b/>
                <w:color w:val="auto"/>
              </w:rPr>
              <w:t>7.2.11</w:t>
            </w:r>
            <w:r>
              <w:rPr>
                <w:rFonts w:cs="Times New Roman"/>
                <w:b/>
                <w:color w:val="auto"/>
              </w:rPr>
              <w:t>总量控制</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污染物排放实施总量控制是执行环保管理目标责任制的基本原则之一，本环评结合环保管理要求，对项目主要污染物的排放量进行总量控制分析，按照国家和湖南省环保厅的要求，“十三五”期间国家实施总量控制的主要污染物共</w:t>
            </w:r>
            <w:r>
              <w:rPr>
                <w:rFonts w:ascii="Times New Roman" w:hAnsi="Times New Roman" w:cs="Times New Roman"/>
                <w:sz w:val="24"/>
              </w:rPr>
              <w:t>5</w:t>
            </w:r>
            <w:r>
              <w:rPr>
                <w:rFonts w:hint="eastAsia" w:ascii="Times New Roman" w:hAnsi="Times New Roman" w:cs="Times New Roman"/>
                <w:sz w:val="24"/>
              </w:rPr>
              <w:t>项，其中空气污染物</w:t>
            </w:r>
            <w:r>
              <w:rPr>
                <w:rFonts w:ascii="Times New Roman" w:hAnsi="Times New Roman" w:cs="Times New Roman"/>
                <w:sz w:val="24"/>
              </w:rPr>
              <w:t>3</w:t>
            </w:r>
            <w:r>
              <w:rPr>
                <w:rFonts w:hint="eastAsia" w:ascii="Times New Roman" w:hAnsi="Times New Roman" w:cs="Times New Roman"/>
                <w:sz w:val="24"/>
              </w:rPr>
              <w:t>项（</w:t>
            </w:r>
            <w:r>
              <w:rPr>
                <w:rFonts w:ascii="Times New Roman" w:hAnsi="Times New Roman" w:cs="Times New Roman"/>
                <w:sz w:val="24"/>
              </w:rPr>
              <w:t>NOx</w:t>
            </w:r>
            <w:r>
              <w:rPr>
                <w:rFonts w:hint="eastAsia" w:ascii="Times New Roman" w:hAnsi="Times New Roman" w:cs="Times New Roman"/>
                <w:sz w:val="24"/>
              </w:rPr>
              <w:t>、</w:t>
            </w:r>
            <w:r>
              <w:rPr>
                <w:rFonts w:ascii="Times New Roman" w:hAnsi="Times New Roman" w:cs="Times New Roman"/>
                <w:sz w:val="24"/>
              </w:rPr>
              <w:t>SO</w:t>
            </w:r>
            <w:r>
              <w:rPr>
                <w:rFonts w:ascii="Times New Roman" w:hAnsi="Times New Roman" w:cs="Times New Roman"/>
                <w:sz w:val="24"/>
                <w:vertAlign w:val="subscript"/>
              </w:rPr>
              <w:t>2</w:t>
            </w:r>
            <w:r>
              <w:rPr>
                <w:rFonts w:hint="eastAsia" w:ascii="Times New Roman" w:hAnsi="Times New Roman" w:cs="Times New Roman"/>
                <w:sz w:val="24"/>
              </w:rPr>
              <w:t>、</w:t>
            </w:r>
            <w:r>
              <w:rPr>
                <w:rFonts w:ascii="Times New Roman" w:hAnsi="Times New Roman" w:cs="Times New Roman"/>
                <w:sz w:val="24"/>
              </w:rPr>
              <w:t>VOCs</w:t>
            </w:r>
            <w:r>
              <w:rPr>
                <w:rFonts w:hint="eastAsia" w:ascii="Times New Roman" w:hAnsi="Times New Roman" w:cs="Times New Roman"/>
                <w:sz w:val="24"/>
              </w:rPr>
              <w:t>），水污染物</w:t>
            </w:r>
            <w:r>
              <w:rPr>
                <w:rFonts w:ascii="Times New Roman" w:hAnsi="Times New Roman" w:cs="Times New Roman"/>
                <w:sz w:val="24"/>
              </w:rPr>
              <w:t xml:space="preserve">2 </w:t>
            </w:r>
            <w:r>
              <w:rPr>
                <w:rFonts w:hint="eastAsia" w:ascii="Times New Roman" w:hAnsi="Times New Roman" w:cs="Times New Roman"/>
                <w:sz w:val="24"/>
              </w:rPr>
              <w:t>项（</w:t>
            </w:r>
            <w:r>
              <w:rPr>
                <w:rFonts w:ascii="Times New Roman" w:hAnsi="Times New Roman" w:cs="Times New Roman"/>
                <w:sz w:val="24"/>
              </w:rPr>
              <w:t>COD</w:t>
            </w:r>
            <w:r>
              <w:rPr>
                <w:rFonts w:hint="eastAsia" w:ascii="Times New Roman" w:hAnsi="Times New Roman" w:cs="Times New Roman"/>
                <w:sz w:val="24"/>
              </w:rPr>
              <w:t>、</w:t>
            </w: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-N</w:t>
            </w:r>
            <w:r>
              <w:rPr>
                <w:rFonts w:hint="eastAsia" w:ascii="Times New Roman" w:hAnsi="Times New Roman" w:cs="Times New Roman"/>
                <w:sz w:val="24"/>
              </w:rPr>
              <w:t>）。</w:t>
            </w:r>
          </w:p>
          <w:p>
            <w:pPr>
              <w:pStyle w:val="31"/>
              <w:rPr>
                <w:rFonts w:cs="Times New Roman"/>
                <w:color w:val="auto"/>
              </w:rPr>
            </w:pPr>
            <w:r>
              <w:rPr>
                <w:rFonts w:hint="eastAsia" w:cs="Times New Roman"/>
                <w:color w:val="auto"/>
              </w:rPr>
              <w:t>本项目中大气污染因子主要为扬尘，不属于总量控制因子，无需申请大气总量控制指标；生活污水经化粪池处理后作为农肥，不外排，生产废水经沉淀处理后回用于生产工艺，故本项目无需水污染物申请总量。</w:t>
            </w:r>
          </w:p>
        </w:tc>
      </w:tr>
    </w:tbl>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p>
      <w:pPr>
        <w:pStyle w:val="2"/>
      </w:pPr>
      <w:bookmarkStart w:id="80" w:name="_Toc7464062"/>
      <w:bookmarkStart w:id="81" w:name="_Toc29072"/>
      <w:bookmarkStart w:id="82" w:name="_Toc2215"/>
      <w:r>
        <w:t>八、建设项目拟采取的防治措施、投资及预期治理效果</w:t>
      </w:r>
      <w:bookmarkEnd w:id="80"/>
      <w:bookmarkEnd w:id="81"/>
      <w:bookmarkEnd w:id="82"/>
    </w:p>
    <w:tbl>
      <w:tblPr>
        <w:tblStyle w:val="25"/>
        <w:tblW w:w="9414" w:type="dxa"/>
        <w:jc w:val="center"/>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559"/>
        <w:gridCol w:w="1701"/>
        <w:gridCol w:w="3261"/>
        <w:gridCol w:w="201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881" w:type="dxa"/>
            <w:tcBorders>
              <w:top w:val="single" w:color="auto" w:sz="18" w:space="0"/>
              <w:bottom w:val="single" w:color="auto" w:sz="4" w:space="0"/>
              <w:tl2br w:val="single" w:color="auto" w:sz="4" w:space="0"/>
            </w:tcBorders>
          </w:tcPr>
          <w:p>
            <w:pPr>
              <w:spacing w:line="460" w:lineRule="exact"/>
              <w:jc w:val="right"/>
              <w:rPr>
                <w:rFonts w:ascii="Times New Roman" w:hAnsi="Times New Roman" w:cs="Times New Roman"/>
                <w:b/>
                <w:sz w:val="24"/>
              </w:rPr>
            </w:pPr>
            <w:r>
              <w:rPr>
                <w:rFonts w:ascii="Times New Roman" w:hAnsi="Times New Roman" w:cs="Times New Roman"/>
                <w:b/>
                <w:sz w:val="24"/>
              </w:rPr>
              <w:t>内容</w:t>
            </w:r>
          </w:p>
          <w:p>
            <w:pPr>
              <w:spacing w:line="460" w:lineRule="exact"/>
              <w:rPr>
                <w:rFonts w:ascii="Times New Roman" w:hAnsi="Times New Roman" w:cs="Times New Roman"/>
                <w:b/>
                <w:sz w:val="24"/>
              </w:rPr>
            </w:pPr>
            <w:r>
              <w:rPr>
                <w:rFonts w:ascii="Times New Roman" w:hAnsi="Times New Roman" w:cs="Times New Roman"/>
                <w:b/>
                <w:sz w:val="24"/>
              </w:rPr>
              <w:t>类型</w:t>
            </w:r>
          </w:p>
        </w:tc>
        <w:tc>
          <w:tcPr>
            <w:tcW w:w="1559" w:type="dxa"/>
            <w:tcBorders>
              <w:top w:val="single" w:color="auto" w:sz="18" w:space="0"/>
              <w:bottom w:val="single" w:color="auto" w:sz="4" w:space="0"/>
            </w:tcBorders>
            <w:vAlign w:val="center"/>
          </w:tcPr>
          <w:p>
            <w:pPr>
              <w:spacing w:line="460" w:lineRule="exact"/>
              <w:jc w:val="center"/>
              <w:rPr>
                <w:rFonts w:ascii="Times New Roman" w:hAnsi="Times New Roman" w:cs="Times New Roman"/>
                <w:b/>
                <w:sz w:val="24"/>
              </w:rPr>
            </w:pPr>
            <w:r>
              <w:rPr>
                <w:rFonts w:ascii="Times New Roman" w:hAnsi="Times New Roman" w:cs="Times New Roman"/>
                <w:b/>
                <w:sz w:val="24"/>
              </w:rPr>
              <w:t>排放源</w:t>
            </w:r>
          </w:p>
          <w:p>
            <w:pPr>
              <w:spacing w:line="460" w:lineRule="exact"/>
              <w:jc w:val="center"/>
              <w:rPr>
                <w:rFonts w:ascii="Times New Roman" w:hAnsi="Times New Roman" w:cs="Times New Roman"/>
                <w:b/>
                <w:sz w:val="24"/>
              </w:rPr>
            </w:pPr>
            <w:r>
              <w:rPr>
                <w:rFonts w:ascii="Times New Roman" w:hAnsi="Times New Roman" w:cs="Times New Roman"/>
                <w:b/>
                <w:sz w:val="24"/>
              </w:rPr>
              <w:t>(编号)</w:t>
            </w:r>
          </w:p>
        </w:tc>
        <w:tc>
          <w:tcPr>
            <w:tcW w:w="1701" w:type="dxa"/>
            <w:tcBorders>
              <w:top w:val="single" w:color="auto" w:sz="18" w:space="0"/>
              <w:bottom w:val="single" w:color="auto" w:sz="4" w:space="0"/>
            </w:tcBorders>
            <w:vAlign w:val="center"/>
          </w:tcPr>
          <w:p>
            <w:pPr>
              <w:spacing w:line="460" w:lineRule="exact"/>
              <w:jc w:val="center"/>
              <w:rPr>
                <w:rFonts w:ascii="Times New Roman" w:hAnsi="Times New Roman" w:cs="Times New Roman"/>
                <w:b/>
                <w:sz w:val="24"/>
              </w:rPr>
            </w:pPr>
            <w:r>
              <w:rPr>
                <w:rFonts w:ascii="Times New Roman" w:hAnsi="Times New Roman" w:cs="Times New Roman"/>
                <w:b/>
                <w:sz w:val="24"/>
              </w:rPr>
              <w:t>污染物名称</w:t>
            </w:r>
          </w:p>
        </w:tc>
        <w:tc>
          <w:tcPr>
            <w:tcW w:w="3261" w:type="dxa"/>
            <w:tcBorders>
              <w:top w:val="single" w:color="auto" w:sz="18" w:space="0"/>
              <w:bottom w:val="single" w:color="auto" w:sz="4" w:space="0"/>
            </w:tcBorders>
            <w:vAlign w:val="center"/>
          </w:tcPr>
          <w:p>
            <w:pPr>
              <w:spacing w:line="460" w:lineRule="exact"/>
              <w:jc w:val="center"/>
              <w:rPr>
                <w:rFonts w:ascii="Times New Roman" w:hAnsi="Times New Roman" w:cs="Times New Roman"/>
                <w:b/>
                <w:sz w:val="24"/>
              </w:rPr>
            </w:pPr>
            <w:r>
              <w:rPr>
                <w:rFonts w:ascii="Times New Roman" w:hAnsi="Times New Roman" w:cs="Times New Roman"/>
                <w:b/>
                <w:sz w:val="24"/>
              </w:rPr>
              <w:t>防治措施</w:t>
            </w:r>
          </w:p>
        </w:tc>
        <w:tc>
          <w:tcPr>
            <w:tcW w:w="2012" w:type="dxa"/>
            <w:tcBorders>
              <w:top w:val="single" w:color="auto" w:sz="18" w:space="0"/>
              <w:bottom w:val="single" w:color="auto" w:sz="4" w:space="0"/>
            </w:tcBorders>
          </w:tcPr>
          <w:p>
            <w:pPr>
              <w:spacing w:line="460" w:lineRule="exact"/>
              <w:ind w:left="-57" w:right="-113"/>
              <w:jc w:val="center"/>
              <w:rPr>
                <w:rFonts w:ascii="Times New Roman" w:hAnsi="Times New Roman" w:cs="Times New Roman"/>
                <w:b/>
                <w:sz w:val="24"/>
              </w:rPr>
            </w:pPr>
            <w:r>
              <w:rPr>
                <w:rFonts w:ascii="Times New Roman" w:hAnsi="Times New Roman" w:cs="Times New Roman"/>
                <w:b/>
                <w:sz w:val="24"/>
              </w:rPr>
              <w:t>预期治理效果及污染物排放增减量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restart"/>
            <w:vAlign w:val="center"/>
          </w:tcPr>
          <w:p>
            <w:pPr>
              <w:spacing w:line="300" w:lineRule="auto"/>
              <w:jc w:val="center"/>
              <w:rPr>
                <w:rFonts w:ascii="Times New Roman" w:hAnsi="Times New Roman" w:cs="Times New Roman"/>
                <w:bCs/>
                <w:sz w:val="24"/>
              </w:rPr>
            </w:pPr>
            <w:r>
              <w:rPr>
                <w:rFonts w:ascii="Times New Roman" w:hAnsi="Times New Roman" w:cs="Times New Roman"/>
                <w:bCs/>
                <w:sz w:val="24"/>
              </w:rPr>
              <w:t>大</w:t>
            </w:r>
          </w:p>
          <w:p>
            <w:pPr>
              <w:spacing w:line="300" w:lineRule="auto"/>
              <w:jc w:val="center"/>
              <w:rPr>
                <w:rFonts w:ascii="Times New Roman" w:hAnsi="Times New Roman" w:cs="Times New Roman"/>
                <w:bCs/>
                <w:sz w:val="24"/>
              </w:rPr>
            </w:pPr>
            <w:r>
              <w:rPr>
                <w:rFonts w:ascii="Times New Roman" w:hAnsi="Times New Roman" w:cs="Times New Roman"/>
                <w:bCs/>
                <w:sz w:val="24"/>
              </w:rPr>
              <w:t>气</w:t>
            </w:r>
          </w:p>
          <w:p>
            <w:pPr>
              <w:spacing w:line="300" w:lineRule="auto"/>
              <w:jc w:val="center"/>
              <w:rPr>
                <w:rFonts w:ascii="Times New Roman" w:hAnsi="Times New Roman" w:cs="Times New Roman"/>
                <w:bCs/>
                <w:sz w:val="24"/>
              </w:rPr>
            </w:pPr>
            <w:r>
              <w:rPr>
                <w:rFonts w:ascii="Times New Roman" w:hAnsi="Times New Roman" w:cs="Times New Roman"/>
                <w:bCs/>
                <w:sz w:val="24"/>
              </w:rPr>
              <w:t>污</w:t>
            </w:r>
          </w:p>
          <w:p>
            <w:pPr>
              <w:spacing w:line="300" w:lineRule="auto"/>
              <w:jc w:val="center"/>
              <w:rPr>
                <w:rFonts w:ascii="Times New Roman" w:hAnsi="Times New Roman" w:cs="Times New Roman"/>
                <w:bCs/>
                <w:sz w:val="24"/>
              </w:rPr>
            </w:pPr>
            <w:r>
              <w:rPr>
                <w:rFonts w:ascii="Times New Roman" w:hAnsi="Times New Roman" w:cs="Times New Roman"/>
                <w:bCs/>
                <w:sz w:val="24"/>
              </w:rPr>
              <w:t>染</w:t>
            </w:r>
          </w:p>
          <w:p>
            <w:pPr>
              <w:spacing w:line="300" w:lineRule="auto"/>
              <w:jc w:val="center"/>
              <w:rPr>
                <w:rFonts w:ascii="Times New Roman" w:hAnsi="Times New Roman" w:cs="Times New Roman"/>
                <w:bCs/>
                <w:sz w:val="24"/>
              </w:rPr>
            </w:pPr>
            <w:r>
              <w:rPr>
                <w:rFonts w:ascii="Times New Roman" w:hAnsi="Times New Roman" w:cs="Times New Roman"/>
                <w:bCs/>
                <w:sz w:val="24"/>
              </w:rPr>
              <w:t>物</w:t>
            </w:r>
          </w:p>
        </w:tc>
        <w:tc>
          <w:tcPr>
            <w:tcW w:w="1559"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石材加工粉尘</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颗粒物</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采用湿法作业，设置围挡</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达标排放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tcPr>
          <w:p>
            <w:pPr>
              <w:spacing w:line="300" w:lineRule="auto"/>
              <w:jc w:val="center"/>
              <w:rPr>
                <w:rFonts w:ascii="Times New Roman" w:hAnsi="Times New Roman" w:cs="Times New Roman"/>
                <w:bCs/>
                <w:sz w:val="24"/>
              </w:rPr>
            </w:pPr>
          </w:p>
        </w:tc>
        <w:tc>
          <w:tcPr>
            <w:tcW w:w="1559"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投料、落料、装卸和堆场扬尘</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颗粒物</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建设物料室内堆场（禁止露天堆放），堆场、投料口和输送皮带处安装雾化喷头进行降尘。输送皮带进行全封闭，对场地地面进行硬化并洒水抑尘</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达标排放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tcPr>
          <w:p>
            <w:pPr>
              <w:spacing w:line="300" w:lineRule="auto"/>
              <w:jc w:val="center"/>
              <w:rPr>
                <w:rFonts w:ascii="Times New Roman" w:hAnsi="Times New Roman" w:cs="Times New Roman"/>
                <w:bCs/>
                <w:sz w:val="24"/>
              </w:rPr>
            </w:pPr>
          </w:p>
        </w:tc>
        <w:tc>
          <w:tcPr>
            <w:tcW w:w="1559"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运输扬尘</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颗粒物</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配备移动式抑尘雾炮机，对道路地面进行硬化并喷雾抑尘，加强运输管理，汽车加盖篷布，对出场车辆轮胎进行清洗</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达标排放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tcPr>
          <w:p>
            <w:pPr>
              <w:spacing w:line="300" w:lineRule="auto"/>
              <w:jc w:val="center"/>
              <w:rPr>
                <w:rFonts w:ascii="Times New Roman" w:hAnsi="Times New Roman" w:cs="Times New Roman"/>
                <w:bCs/>
                <w:sz w:val="24"/>
              </w:rPr>
            </w:pPr>
          </w:p>
        </w:tc>
        <w:tc>
          <w:tcPr>
            <w:tcW w:w="1559"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破碎和筛分粉尘</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颗粒物</w:t>
            </w:r>
          </w:p>
        </w:tc>
        <w:tc>
          <w:tcPr>
            <w:tcW w:w="3261"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建设封闭厂房，并对破碎和筛分设备进行封闭，破碎和筛分粉尘经负压收集和布袋除尘器处理后高由15m高排气筒排放</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达标排放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restart"/>
            <w:vAlign w:val="center"/>
          </w:tcPr>
          <w:p>
            <w:pPr>
              <w:spacing w:line="300" w:lineRule="auto"/>
              <w:jc w:val="center"/>
              <w:rPr>
                <w:rFonts w:ascii="Times New Roman" w:hAnsi="Times New Roman" w:cs="Times New Roman"/>
                <w:bCs/>
                <w:sz w:val="24"/>
              </w:rPr>
            </w:pPr>
            <w:r>
              <w:rPr>
                <w:rFonts w:ascii="Times New Roman" w:hAnsi="Times New Roman" w:cs="Times New Roman"/>
                <w:bCs/>
                <w:sz w:val="24"/>
              </w:rPr>
              <w:t>水</w:t>
            </w:r>
          </w:p>
          <w:p>
            <w:pPr>
              <w:spacing w:line="300" w:lineRule="auto"/>
              <w:jc w:val="center"/>
              <w:rPr>
                <w:rFonts w:ascii="Times New Roman" w:hAnsi="Times New Roman" w:cs="Times New Roman"/>
                <w:bCs/>
                <w:sz w:val="24"/>
              </w:rPr>
            </w:pPr>
            <w:r>
              <w:rPr>
                <w:rFonts w:ascii="Times New Roman" w:hAnsi="Times New Roman" w:cs="Times New Roman"/>
                <w:bCs/>
                <w:sz w:val="24"/>
              </w:rPr>
              <w:t>污</w:t>
            </w:r>
          </w:p>
          <w:p>
            <w:pPr>
              <w:spacing w:line="300" w:lineRule="auto"/>
              <w:jc w:val="center"/>
              <w:rPr>
                <w:rFonts w:ascii="Times New Roman" w:hAnsi="Times New Roman" w:cs="Times New Roman"/>
                <w:bCs/>
                <w:sz w:val="24"/>
              </w:rPr>
            </w:pPr>
            <w:r>
              <w:rPr>
                <w:rFonts w:ascii="Times New Roman" w:hAnsi="Times New Roman" w:cs="Times New Roman"/>
                <w:bCs/>
                <w:sz w:val="24"/>
              </w:rPr>
              <w:t>染</w:t>
            </w:r>
          </w:p>
          <w:p>
            <w:pPr>
              <w:spacing w:line="300" w:lineRule="auto"/>
              <w:jc w:val="center"/>
              <w:rPr>
                <w:rFonts w:ascii="Times New Roman" w:hAnsi="Times New Roman" w:cs="Times New Roman"/>
                <w:bCs/>
                <w:sz w:val="24"/>
              </w:rPr>
            </w:pPr>
            <w:r>
              <w:rPr>
                <w:rFonts w:ascii="Times New Roman" w:hAnsi="Times New Roman" w:cs="Times New Roman"/>
                <w:bCs/>
                <w:sz w:val="24"/>
              </w:rPr>
              <w:t>物</w:t>
            </w:r>
          </w:p>
        </w:tc>
        <w:tc>
          <w:tcPr>
            <w:tcW w:w="1559" w:type="dxa"/>
            <w:tcBorders>
              <w:top w:val="single" w:color="auto" w:sz="4" w:space="0"/>
            </w:tcBorders>
            <w:vAlign w:val="center"/>
          </w:tcPr>
          <w:p>
            <w:pPr>
              <w:spacing w:line="264" w:lineRule="auto"/>
              <w:jc w:val="center"/>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生活污水</w:t>
            </w:r>
          </w:p>
        </w:tc>
        <w:tc>
          <w:tcPr>
            <w:tcW w:w="170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BOD</w:t>
            </w:r>
            <w:r>
              <w:rPr>
                <w:rFonts w:hint="eastAsia" w:ascii="Times New Roman" w:hAnsi="Times New Roman" w:cs="Times New Roman"/>
                <w:szCs w:val="21"/>
                <w:vertAlign w:val="subscript"/>
              </w:rPr>
              <w:t>5</w:t>
            </w:r>
            <w:r>
              <w:rPr>
                <w:rFonts w:hint="eastAsia" w:ascii="Times New Roman" w:hAnsi="Times New Roman" w:cs="Times New Roman"/>
                <w:szCs w:val="21"/>
              </w:rPr>
              <w:t>、COD</w:t>
            </w:r>
            <w:r>
              <w:rPr>
                <w:rFonts w:hint="eastAsia" w:ascii="Times New Roman" w:hAnsi="Times New Roman" w:cs="Times New Roman"/>
                <w:szCs w:val="21"/>
                <w:vertAlign w:val="subscript"/>
              </w:rPr>
              <w:t>Cr</w:t>
            </w:r>
            <w:r>
              <w:rPr>
                <w:rFonts w:hint="eastAsia" w:ascii="Times New Roman" w:hAnsi="Times New Roman" w:cs="Times New Roman"/>
                <w:szCs w:val="21"/>
              </w:rPr>
              <w:t>、NH</w:t>
            </w:r>
            <w:r>
              <w:rPr>
                <w:rFonts w:hint="eastAsia" w:ascii="Times New Roman" w:hAnsi="Times New Roman" w:cs="Times New Roman"/>
                <w:szCs w:val="21"/>
                <w:vertAlign w:val="subscript"/>
              </w:rPr>
              <w:t>3</w:t>
            </w:r>
            <w:r>
              <w:rPr>
                <w:rFonts w:hint="eastAsia" w:ascii="Times New Roman" w:hAnsi="Times New Roman" w:cs="Times New Roman"/>
                <w:szCs w:val="21"/>
              </w:rPr>
              <w:t>-N、SS、动植物油</w:t>
            </w:r>
          </w:p>
        </w:tc>
        <w:tc>
          <w:tcPr>
            <w:tcW w:w="326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经化粪池处理后用作农肥</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用作农肥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vAlign w:val="center"/>
          </w:tcPr>
          <w:p>
            <w:pPr>
              <w:spacing w:line="300" w:lineRule="auto"/>
              <w:jc w:val="center"/>
              <w:rPr>
                <w:rFonts w:ascii="Times New Roman" w:hAnsi="Times New Roman" w:cs="Times New Roman"/>
                <w:bCs/>
                <w:sz w:val="24"/>
              </w:rPr>
            </w:pPr>
          </w:p>
        </w:tc>
        <w:tc>
          <w:tcPr>
            <w:tcW w:w="1559" w:type="dxa"/>
            <w:tcBorders>
              <w:top w:val="single" w:color="auto" w:sz="4" w:space="0"/>
            </w:tcBorders>
            <w:vAlign w:val="center"/>
          </w:tcPr>
          <w:p>
            <w:pPr>
              <w:spacing w:line="264" w:lineRule="auto"/>
              <w:jc w:val="center"/>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生产废水</w:t>
            </w:r>
          </w:p>
        </w:tc>
        <w:tc>
          <w:tcPr>
            <w:tcW w:w="170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SS</w:t>
            </w:r>
          </w:p>
        </w:tc>
        <w:tc>
          <w:tcPr>
            <w:tcW w:w="326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经废水处理设施处理（沉淀）后回用于生产</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不外排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vAlign w:val="center"/>
          </w:tcPr>
          <w:p>
            <w:pPr>
              <w:spacing w:line="300" w:lineRule="auto"/>
              <w:jc w:val="center"/>
              <w:rPr>
                <w:rFonts w:ascii="Times New Roman" w:hAnsi="Times New Roman" w:cs="Times New Roman"/>
                <w:bCs/>
                <w:sz w:val="24"/>
              </w:rPr>
            </w:pPr>
          </w:p>
        </w:tc>
        <w:tc>
          <w:tcPr>
            <w:tcW w:w="1559" w:type="dxa"/>
            <w:tcBorders>
              <w:top w:val="single" w:color="auto" w:sz="4" w:space="0"/>
            </w:tcBorders>
            <w:vAlign w:val="center"/>
          </w:tcPr>
          <w:p>
            <w:pPr>
              <w:spacing w:line="264" w:lineRule="auto"/>
              <w:jc w:val="center"/>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初期雨水</w:t>
            </w:r>
          </w:p>
        </w:tc>
        <w:tc>
          <w:tcPr>
            <w:tcW w:w="170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SS</w:t>
            </w:r>
          </w:p>
        </w:tc>
        <w:tc>
          <w:tcPr>
            <w:tcW w:w="3261" w:type="dxa"/>
            <w:tcBorders>
              <w:top w:val="single" w:color="auto" w:sz="4" w:space="0"/>
              <w:bottom w:val="single" w:color="auto" w:sz="6"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沉淀处理后回用作生产用水</w:t>
            </w:r>
          </w:p>
        </w:tc>
        <w:tc>
          <w:tcPr>
            <w:tcW w:w="2012"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不外排</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restart"/>
            <w:vAlign w:val="center"/>
          </w:tcPr>
          <w:p>
            <w:pPr>
              <w:spacing w:line="300" w:lineRule="auto"/>
              <w:jc w:val="center"/>
              <w:rPr>
                <w:rFonts w:ascii="Times New Roman" w:hAnsi="Times New Roman" w:cs="Times New Roman"/>
                <w:bCs/>
                <w:sz w:val="24"/>
              </w:rPr>
            </w:pPr>
            <w:r>
              <w:rPr>
                <w:rFonts w:ascii="Times New Roman" w:hAnsi="Times New Roman" w:cs="Times New Roman"/>
                <w:bCs/>
                <w:sz w:val="24"/>
              </w:rPr>
              <w:t>固</w:t>
            </w:r>
          </w:p>
          <w:p>
            <w:pPr>
              <w:spacing w:line="300" w:lineRule="auto"/>
              <w:jc w:val="center"/>
              <w:rPr>
                <w:rFonts w:ascii="Times New Roman" w:hAnsi="Times New Roman" w:cs="Times New Roman"/>
                <w:bCs/>
                <w:sz w:val="24"/>
              </w:rPr>
            </w:pPr>
            <w:r>
              <w:rPr>
                <w:rFonts w:ascii="Times New Roman" w:hAnsi="Times New Roman" w:cs="Times New Roman"/>
                <w:bCs/>
                <w:sz w:val="24"/>
              </w:rPr>
              <w:t>体</w:t>
            </w:r>
          </w:p>
          <w:p>
            <w:pPr>
              <w:spacing w:line="300" w:lineRule="auto"/>
              <w:jc w:val="center"/>
              <w:rPr>
                <w:rFonts w:ascii="Times New Roman" w:hAnsi="Times New Roman" w:cs="Times New Roman"/>
                <w:bCs/>
                <w:sz w:val="24"/>
              </w:rPr>
            </w:pPr>
            <w:r>
              <w:rPr>
                <w:rFonts w:ascii="Times New Roman" w:hAnsi="Times New Roman" w:cs="Times New Roman"/>
                <w:bCs/>
                <w:sz w:val="24"/>
              </w:rPr>
              <w:t>废</w:t>
            </w:r>
          </w:p>
          <w:p>
            <w:pPr>
              <w:spacing w:line="300" w:lineRule="auto"/>
              <w:jc w:val="center"/>
              <w:rPr>
                <w:rFonts w:ascii="Times New Roman" w:hAnsi="Times New Roman" w:cs="Times New Roman"/>
                <w:bCs/>
                <w:sz w:val="24"/>
              </w:rPr>
            </w:pPr>
            <w:r>
              <w:rPr>
                <w:rFonts w:ascii="Times New Roman" w:hAnsi="Times New Roman" w:cs="Times New Roman"/>
                <w:bCs/>
                <w:sz w:val="24"/>
              </w:rPr>
              <w:t>物</w:t>
            </w:r>
          </w:p>
        </w:tc>
        <w:tc>
          <w:tcPr>
            <w:tcW w:w="1559" w:type="dxa"/>
            <w:vAlign w:val="center"/>
          </w:tcPr>
          <w:p>
            <w:pPr>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办公生活</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生活垃圾</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集中收集，由环卫部门统一清运</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无害化处置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vAlign w:val="center"/>
          </w:tcPr>
          <w:p>
            <w:pPr>
              <w:spacing w:line="300" w:lineRule="auto"/>
              <w:jc w:val="center"/>
              <w:rPr>
                <w:rFonts w:ascii="Times New Roman" w:hAnsi="Times New Roman" w:cs="Times New Roman"/>
                <w:bCs/>
                <w:sz w:val="24"/>
              </w:rPr>
            </w:pPr>
          </w:p>
        </w:tc>
        <w:tc>
          <w:tcPr>
            <w:tcW w:w="1559" w:type="dxa"/>
            <w:vAlign w:val="center"/>
          </w:tcPr>
          <w:p>
            <w:pPr>
              <w:widowControl/>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危险废物</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危废间暂存，有资质单位处置</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无害化处置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vAlign w:val="center"/>
          </w:tcPr>
          <w:p>
            <w:pPr>
              <w:spacing w:line="300" w:lineRule="auto"/>
              <w:jc w:val="center"/>
              <w:rPr>
                <w:rFonts w:ascii="Times New Roman" w:hAnsi="Times New Roman" w:cs="Times New Roman"/>
                <w:bCs/>
                <w:sz w:val="24"/>
              </w:rPr>
            </w:pPr>
          </w:p>
        </w:tc>
        <w:tc>
          <w:tcPr>
            <w:tcW w:w="1559" w:type="dxa"/>
            <w:vAlign w:val="center"/>
          </w:tcPr>
          <w:p>
            <w:pPr>
              <w:widowControl/>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除尘系统</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收集粉尘（石粉）</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rPr>
              <w:t>与砂石产品一同外售</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无害化处置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vAlign w:val="center"/>
          </w:tcPr>
          <w:p>
            <w:pPr>
              <w:spacing w:line="300" w:lineRule="auto"/>
              <w:jc w:val="center"/>
              <w:rPr>
                <w:rFonts w:ascii="Times New Roman" w:hAnsi="Times New Roman" w:cs="Times New Roman"/>
                <w:bCs/>
                <w:sz w:val="24"/>
              </w:rPr>
            </w:pPr>
          </w:p>
        </w:tc>
        <w:tc>
          <w:tcPr>
            <w:tcW w:w="1559" w:type="dxa"/>
            <w:vAlign w:val="center"/>
          </w:tcPr>
          <w:p>
            <w:pPr>
              <w:widowControl/>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沉淀池</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沉渣（石粉）</w:t>
            </w:r>
          </w:p>
        </w:tc>
        <w:tc>
          <w:tcPr>
            <w:tcW w:w="3261" w:type="dxa"/>
            <w:tcBorders>
              <w:top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rPr>
              <w:t>与砂石产品一同外售</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无害化处置</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vMerge w:val="continue"/>
          </w:tcPr>
          <w:p>
            <w:pPr>
              <w:spacing w:line="300" w:lineRule="auto"/>
              <w:jc w:val="center"/>
              <w:rPr>
                <w:rFonts w:ascii="Times New Roman" w:hAnsi="Times New Roman" w:cs="Times New Roman"/>
                <w:bCs/>
                <w:sz w:val="24"/>
              </w:rPr>
            </w:pPr>
          </w:p>
        </w:tc>
        <w:tc>
          <w:tcPr>
            <w:tcW w:w="1559" w:type="dxa"/>
            <w:vAlign w:val="center"/>
          </w:tcPr>
          <w:p>
            <w:pPr>
              <w:widowControl/>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石材加工</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石材边角料</w:t>
            </w:r>
          </w:p>
        </w:tc>
        <w:tc>
          <w:tcPr>
            <w:tcW w:w="326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rPr>
              <w:t>用作本项目砂石生产原料</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综合利用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81" w:type="dxa"/>
          </w:tcPr>
          <w:p>
            <w:pPr>
              <w:spacing w:line="300" w:lineRule="auto"/>
              <w:jc w:val="center"/>
              <w:rPr>
                <w:rFonts w:ascii="Times New Roman" w:hAnsi="Times New Roman" w:cs="Times New Roman"/>
                <w:bCs/>
                <w:sz w:val="24"/>
              </w:rPr>
            </w:pPr>
            <w:r>
              <w:rPr>
                <w:rFonts w:ascii="Times New Roman" w:hAnsi="Times New Roman" w:cs="Times New Roman"/>
                <w:bCs/>
                <w:sz w:val="24"/>
              </w:rPr>
              <w:t>噪</w:t>
            </w:r>
          </w:p>
          <w:p>
            <w:pPr>
              <w:spacing w:line="300" w:lineRule="auto"/>
              <w:jc w:val="center"/>
              <w:rPr>
                <w:rFonts w:ascii="Times New Roman" w:hAnsi="Times New Roman" w:cs="Times New Roman"/>
                <w:bCs/>
                <w:sz w:val="24"/>
              </w:rPr>
            </w:pPr>
            <w:r>
              <w:rPr>
                <w:rFonts w:ascii="Times New Roman" w:hAnsi="Times New Roman" w:cs="Times New Roman"/>
                <w:bCs/>
                <w:sz w:val="24"/>
              </w:rPr>
              <w:t>声</w:t>
            </w:r>
          </w:p>
        </w:tc>
        <w:tc>
          <w:tcPr>
            <w:tcW w:w="1559" w:type="dxa"/>
            <w:vAlign w:val="center"/>
          </w:tcPr>
          <w:p>
            <w:pPr>
              <w:widowControl/>
              <w:spacing w:line="264" w:lineRule="auto"/>
              <w:jc w:val="center"/>
              <w:rPr>
                <w:rFonts w:ascii="Times New Roman" w:hAnsi="Times New Roman" w:cs="Times New Roman"/>
                <w:bCs/>
                <w:kern w:val="44"/>
                <w:szCs w:val="21"/>
              </w:rPr>
            </w:pPr>
            <w:r>
              <w:rPr>
                <w:rFonts w:hint="eastAsia" w:ascii="Times New Roman" w:hAnsi="Times New Roman" w:cs="Times New Roman"/>
                <w:bCs/>
                <w:kern w:val="44"/>
                <w:szCs w:val="21"/>
              </w:rPr>
              <w:t>生产设备</w:t>
            </w:r>
          </w:p>
        </w:tc>
        <w:tc>
          <w:tcPr>
            <w:tcW w:w="1701" w:type="dxa"/>
            <w:tcBorders>
              <w:top w:val="single" w:color="auto" w:sz="4" w:space="0"/>
              <w:bottom w:val="single" w:color="auto" w:sz="4" w:space="0"/>
            </w:tcBorders>
            <w:vAlign w:val="center"/>
          </w:tcPr>
          <w:p>
            <w:pPr>
              <w:spacing w:line="264" w:lineRule="auto"/>
              <w:jc w:val="center"/>
              <w:rPr>
                <w:rFonts w:ascii="Times New Roman" w:hAnsi="Times New Roman" w:cs="Times New Roman"/>
                <w:bCs/>
                <w:szCs w:val="21"/>
              </w:rPr>
            </w:pPr>
            <w:r>
              <w:rPr>
                <w:rFonts w:hint="eastAsia" w:ascii="Times New Roman" w:hAnsi="Times New Roman" w:cs="Times New Roman"/>
                <w:bCs/>
                <w:szCs w:val="21"/>
              </w:rPr>
              <w:t>噪声</w:t>
            </w:r>
          </w:p>
        </w:tc>
        <w:tc>
          <w:tcPr>
            <w:tcW w:w="3261" w:type="dxa"/>
            <w:tcBorders>
              <w:top w:val="single" w:color="auto" w:sz="4" w:space="0"/>
              <w:bottom w:val="single" w:color="auto" w:sz="4" w:space="0"/>
            </w:tcBorders>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基础减振、绿化吸声、距离衰减、声屏障</w:t>
            </w:r>
          </w:p>
        </w:tc>
        <w:tc>
          <w:tcPr>
            <w:tcW w:w="2012" w:type="dxa"/>
            <w:vAlign w:val="center"/>
          </w:tcPr>
          <w:p>
            <w:pPr>
              <w:spacing w:line="264" w:lineRule="auto"/>
              <w:jc w:val="center"/>
              <w:rPr>
                <w:rFonts w:ascii="Times New Roman" w:hAnsi="Times New Roman" w:cs="Times New Roman"/>
                <w:szCs w:val="21"/>
              </w:rPr>
            </w:pPr>
            <w:r>
              <w:rPr>
                <w:rFonts w:hint="eastAsia" w:ascii="Times New Roman" w:hAnsi="Times New Roman" w:cs="Times New Roman"/>
                <w:szCs w:val="21"/>
              </w:rPr>
              <w:t>达标排放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881" w:type="dxa"/>
            <w:tcBorders>
              <w:top w:val="single" w:color="auto" w:sz="4" w:space="0"/>
              <w:bottom w:val="single" w:color="auto" w:sz="4" w:space="0"/>
            </w:tcBorders>
            <w:vAlign w:val="center"/>
          </w:tcPr>
          <w:p>
            <w:pPr>
              <w:spacing w:line="300" w:lineRule="auto"/>
              <w:jc w:val="center"/>
              <w:rPr>
                <w:rFonts w:ascii="Times New Roman" w:hAnsi="Times New Roman" w:cs="Times New Roman"/>
                <w:bCs/>
                <w:sz w:val="24"/>
              </w:rPr>
            </w:pPr>
            <w:r>
              <w:rPr>
                <w:rFonts w:ascii="Times New Roman" w:hAnsi="Times New Roman" w:cs="Times New Roman"/>
                <w:bCs/>
                <w:sz w:val="24"/>
              </w:rPr>
              <w:t>其</w:t>
            </w:r>
          </w:p>
          <w:p>
            <w:pPr>
              <w:spacing w:line="300" w:lineRule="auto"/>
              <w:jc w:val="center"/>
              <w:rPr>
                <w:rFonts w:ascii="Times New Roman" w:hAnsi="Times New Roman" w:cs="Times New Roman"/>
                <w:b/>
                <w:sz w:val="24"/>
              </w:rPr>
            </w:pPr>
            <w:r>
              <w:rPr>
                <w:rFonts w:ascii="Times New Roman" w:hAnsi="Times New Roman" w:cs="Times New Roman"/>
                <w:bCs/>
                <w:sz w:val="24"/>
              </w:rPr>
              <w:t>他</w:t>
            </w:r>
          </w:p>
        </w:tc>
        <w:tc>
          <w:tcPr>
            <w:tcW w:w="8533" w:type="dxa"/>
            <w:gridSpan w:val="4"/>
            <w:tcBorders>
              <w:top w:val="single" w:color="auto" w:sz="4" w:space="0"/>
              <w:bottom w:val="single" w:color="auto" w:sz="4" w:space="0"/>
            </w:tcBorders>
            <w:vAlign w:val="center"/>
          </w:tcPr>
          <w:p>
            <w:pPr>
              <w:spacing w:line="300" w:lineRule="auto"/>
              <w:ind w:firstLine="420" w:firstLineChars="200"/>
              <w:rPr>
                <w:rFonts w:ascii="Times New Roman" w:hAnsi="Times New Roman" w:cs="Times New Roman"/>
                <w:szCs w:val="21"/>
                <w:shd w:val="clear" w:color="auto" w:fill="FFFFFF"/>
              </w:rPr>
            </w:pPr>
            <w:r>
              <w:rPr>
                <w:rFonts w:hint="eastAsia" w:ascii="Times New Roman" w:hAnsi="Times New Roman" w:cs="Times New Roman"/>
                <w:szCs w:val="21"/>
                <w:shd w:val="clear" w:color="auto" w:fill="FFFFFF"/>
              </w:rPr>
              <w:t>生产废水直排时，废水排放将造成周边水体受污染，一旦事故发生，应立即停止生产并采取应急处置措施。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jc w:val="center"/>
        </w:trPr>
        <w:tc>
          <w:tcPr>
            <w:tcW w:w="9414" w:type="dxa"/>
            <w:gridSpan w:val="5"/>
            <w:tcBorders>
              <w:top w:val="single" w:color="auto" w:sz="4" w:space="0"/>
              <w:bottom w:val="single" w:color="auto" w:sz="18" w:space="0"/>
            </w:tcBorders>
          </w:tcPr>
          <w:p>
            <w:pPr>
              <w:spacing w:line="300" w:lineRule="auto"/>
              <w:rPr>
                <w:rFonts w:ascii="Times New Roman" w:hAnsi="Times New Roman" w:cs="Times New Roman"/>
                <w:szCs w:val="21"/>
              </w:rPr>
            </w:pPr>
            <w:r>
              <w:rPr>
                <w:rFonts w:ascii="Times New Roman" w:hAnsi="Times New Roman" w:cs="Times New Roman"/>
                <w:szCs w:val="21"/>
              </w:rPr>
              <w:t>生态保护措施及预期效果：</w:t>
            </w:r>
          </w:p>
          <w:p>
            <w:pPr>
              <w:spacing w:line="300" w:lineRule="auto"/>
              <w:ind w:firstLine="420" w:firstLineChars="200"/>
              <w:rPr>
                <w:rFonts w:ascii="Times New Roman" w:hAnsi="Times New Roman" w:cs="Times New Roman"/>
                <w:sz w:val="24"/>
              </w:rPr>
            </w:pPr>
            <w:r>
              <w:rPr>
                <w:rFonts w:hint="eastAsia" w:ascii="Times New Roman" w:hAnsi="Times New Roman" w:cs="Times New Roman"/>
                <w:szCs w:val="21"/>
                <w:shd w:val="clear" w:color="auto" w:fill="FFFFFF"/>
              </w:rPr>
              <w:t>项目用地范围内进行绿化，场界四周种植灌木、花草，减少裸露地面，美化厂区环境，降低扬尘、净化空气、减小噪声、改善厂区生态环境。</w:t>
            </w:r>
          </w:p>
        </w:tc>
      </w:tr>
    </w:tbl>
    <w:p>
      <w:pPr>
        <w:rPr>
          <w:rFonts w:ascii="Times New Roman" w:hAnsi="Times New Roman" w:cs="Times New Roman"/>
          <w:b/>
          <w:sz w:val="30"/>
          <w:szCs w:val="30"/>
        </w:rPr>
      </w:pPr>
    </w:p>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p>
      <w:pPr>
        <w:pStyle w:val="2"/>
      </w:pPr>
      <w:bookmarkStart w:id="83" w:name="_Toc14914"/>
      <w:bookmarkStart w:id="84" w:name="_Toc7464063"/>
      <w:bookmarkStart w:id="85" w:name="_Toc25818"/>
      <w:r>
        <w:t>九、结论与建议</w:t>
      </w:r>
      <w:bookmarkEnd w:id="83"/>
      <w:bookmarkEnd w:id="84"/>
      <w:bookmarkEnd w:id="85"/>
    </w:p>
    <w:tbl>
      <w:tblPr>
        <w:tblStyle w:val="25"/>
        <w:tblW w:w="9286" w:type="dxa"/>
        <w:tblInd w:w="0" w:type="dxa"/>
        <w:tblLayout w:type="fixed"/>
        <w:tblCellMar>
          <w:top w:w="0" w:type="dxa"/>
          <w:left w:w="108" w:type="dxa"/>
          <w:bottom w:w="0" w:type="dxa"/>
          <w:right w:w="108" w:type="dxa"/>
        </w:tblCellMar>
      </w:tblPr>
      <w:tblGrid>
        <w:gridCol w:w="9286"/>
      </w:tblGrid>
      <w:tr>
        <w:tblPrEx>
          <w:tblLayout w:type="fixed"/>
          <w:tblCellMar>
            <w:top w:w="0" w:type="dxa"/>
            <w:left w:w="108" w:type="dxa"/>
            <w:bottom w:w="0" w:type="dxa"/>
            <w:right w:w="108" w:type="dxa"/>
          </w:tblCellMar>
        </w:tblPrEx>
        <w:trPr>
          <w:trHeight w:val="12728" w:hRule="atLeast"/>
        </w:trPr>
        <w:tc>
          <w:tcPr>
            <w:tcW w:w="9286" w:type="dxa"/>
            <w:tcBorders>
              <w:top w:val="single" w:color="auto" w:sz="12" w:space="0"/>
              <w:left w:val="single" w:color="auto" w:sz="12" w:space="0"/>
              <w:bottom w:val="single" w:color="auto" w:sz="12" w:space="0"/>
              <w:right w:val="single" w:color="auto" w:sz="12" w:space="0"/>
            </w:tcBorders>
          </w:tcPr>
          <w:p>
            <w:pPr>
              <w:rPr>
                <w:rFonts w:ascii="Times New Roman" w:hAnsi="Times New Roman" w:cs="Times New Roman"/>
                <w:b/>
                <w:sz w:val="28"/>
                <w:szCs w:val="28"/>
              </w:rPr>
            </w:pPr>
            <w:r>
              <w:rPr>
                <w:rFonts w:hint="eastAsia" w:ascii="Times New Roman" w:hAnsi="Times New Roman" w:cs="Times New Roman"/>
                <w:b/>
                <w:sz w:val="28"/>
                <w:szCs w:val="28"/>
              </w:rPr>
              <w:t>9.1</w:t>
            </w:r>
            <w:r>
              <w:rPr>
                <w:rFonts w:ascii="Times New Roman" w:hAnsi="Times New Roman" w:cs="Times New Roman"/>
                <w:b/>
                <w:sz w:val="28"/>
                <w:szCs w:val="28"/>
              </w:rPr>
              <w:t>结论</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9.1.1</w:t>
            </w:r>
            <w:r>
              <w:rPr>
                <w:rFonts w:ascii="Times New Roman" w:hAnsi="Times New Roman" w:cs="Times New Roman"/>
                <w:b/>
                <w:sz w:val="24"/>
              </w:rPr>
              <w:t>项目概况</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邵东县龙新石材厂拟投资1000万元在邵东县火厂坪镇龙新村李家屋组建设石材加工和机制砂生产项目，项目总用地面积6400m</w:t>
            </w:r>
            <w:r>
              <w:rPr>
                <w:rFonts w:hint="eastAsia" w:ascii="Times New Roman" w:hAnsi="Times New Roman" w:cs="Times New Roman"/>
                <w:sz w:val="24"/>
                <w:vertAlign w:val="superscript"/>
              </w:rPr>
              <w:t>2</w:t>
            </w:r>
            <w:r>
              <w:rPr>
                <w:rFonts w:hint="eastAsia" w:ascii="Times New Roman" w:hAnsi="Times New Roman" w:cs="Times New Roman"/>
                <w:sz w:val="24"/>
              </w:rPr>
              <w:t>，总建筑面积4800m</w:t>
            </w:r>
            <w:r>
              <w:rPr>
                <w:rFonts w:hint="eastAsia" w:ascii="Times New Roman" w:hAnsi="Times New Roman" w:cs="Times New Roman"/>
                <w:sz w:val="24"/>
                <w:vertAlign w:val="superscript"/>
              </w:rPr>
              <w:t>2</w:t>
            </w:r>
            <w:r>
              <w:rPr>
                <w:rFonts w:hint="eastAsia" w:ascii="Times New Roman" w:hAnsi="Times New Roman" w:cs="Times New Roman"/>
                <w:sz w:val="24"/>
              </w:rPr>
              <w:t>。项目以邵东县采石场花岗岩和大理石（荒料）为原料生产花岗岩和大理石板，同时以周边区域及自身石材加工废石料为原料生产机制砂，项目建成后可年生产45万m</w:t>
            </w:r>
            <w:r>
              <w:rPr>
                <w:rFonts w:hint="eastAsia" w:ascii="Times New Roman" w:hAnsi="Times New Roman" w:cs="Times New Roman"/>
                <w:sz w:val="24"/>
                <w:vertAlign w:val="superscript"/>
              </w:rPr>
              <w:t>2</w:t>
            </w:r>
            <w:r>
              <w:rPr>
                <w:rFonts w:hint="eastAsia" w:ascii="Times New Roman" w:hAnsi="Times New Roman" w:cs="Times New Roman"/>
                <w:sz w:val="24"/>
              </w:rPr>
              <w:t>石板和40万吨砂石料。</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本项目为石材加工和利用石材加工产生的边角料等废弃资源（大理石和花岗岩的废石料）进行砂石料生产的建设项目，符合国家现行产业政策要求。</w:t>
            </w:r>
          </w:p>
          <w:p>
            <w:pPr>
              <w:widowControl/>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9.1.2</w:t>
            </w:r>
            <w:r>
              <w:rPr>
                <w:rFonts w:ascii="Times New Roman" w:hAnsi="Times New Roman" w:cs="Times New Roman"/>
                <w:b/>
                <w:sz w:val="24"/>
              </w:rPr>
              <w:t>环境质量现状</w:t>
            </w:r>
          </w:p>
          <w:p>
            <w:pPr>
              <w:adjustRightInd w:val="0"/>
              <w:snapToGrid w:val="0"/>
              <w:spacing w:line="360" w:lineRule="auto"/>
              <w:ind w:firstLine="480" w:firstLineChars="200"/>
              <w:rPr>
                <w:rFonts w:ascii="Times New Roman" w:hAnsi="Times New Roman" w:cs="Times New Roman"/>
                <w:spacing w:val="4"/>
                <w:sz w:val="24"/>
              </w:rPr>
            </w:pPr>
            <w:r>
              <w:rPr>
                <w:rFonts w:hint="eastAsia" w:ascii="Times New Roman" w:hAnsi="Times New Roman" w:cs="Times New Roman"/>
                <w:sz w:val="24"/>
              </w:rPr>
              <w:t>（1）</w:t>
            </w:r>
            <w:r>
              <w:rPr>
                <w:rFonts w:ascii="Times New Roman" w:hAnsi="Times New Roman" w:cs="Times New Roman"/>
                <w:sz w:val="24"/>
              </w:rPr>
              <w:t>环境空气质量现状：根据项目区域大气环境</w:t>
            </w:r>
            <w:r>
              <w:rPr>
                <w:rFonts w:hint="eastAsia" w:ascii="Times New Roman" w:hAnsi="Times New Roman" w:cs="Times New Roman"/>
                <w:sz w:val="24"/>
              </w:rPr>
              <w:t>环境质量统计</w:t>
            </w:r>
            <w:r>
              <w:rPr>
                <w:rFonts w:ascii="Times New Roman" w:hAnsi="Times New Roman" w:cs="Times New Roman"/>
                <w:sz w:val="24"/>
              </w:rPr>
              <w:t>结果可知，</w:t>
            </w:r>
            <w:r>
              <w:rPr>
                <w:rFonts w:hint="eastAsia" w:ascii="Times New Roman" w:hAnsi="Times New Roman" w:cs="Times New Roman"/>
                <w:spacing w:val="4"/>
                <w:sz w:val="24"/>
              </w:rPr>
              <w:t>2017年本项目所在区域环境空气中细颗粒物（PM</w:t>
            </w:r>
            <w:r>
              <w:rPr>
                <w:rFonts w:hint="eastAsia" w:ascii="Times New Roman" w:hAnsi="Times New Roman" w:cs="Times New Roman"/>
                <w:spacing w:val="4"/>
                <w:sz w:val="24"/>
                <w:vertAlign w:val="subscript"/>
              </w:rPr>
              <w:t>2.5</w:t>
            </w:r>
            <w:r>
              <w:rPr>
                <w:rFonts w:hint="eastAsia" w:ascii="Times New Roman" w:hAnsi="Times New Roman" w:cs="Times New Roman"/>
                <w:spacing w:val="4"/>
                <w:sz w:val="24"/>
              </w:rPr>
              <w:t>）年平均浓度为50</w:t>
            </w:r>
            <w:r>
              <w:rPr>
                <w:rFonts w:ascii="Times New Roman" w:hAnsi="Times New Roman" w:cs="Times New Roman"/>
                <w:bCs/>
                <w:spacing w:val="4"/>
                <w:sz w:val="24"/>
              </w:rPr>
              <w:t>μg/m</w:t>
            </w:r>
            <w:r>
              <w:rPr>
                <w:rFonts w:ascii="Times New Roman" w:hAnsi="Times New Roman" w:cs="Times New Roman"/>
                <w:bCs/>
                <w:spacing w:val="4"/>
                <w:sz w:val="24"/>
                <w:vertAlign w:val="superscript"/>
              </w:rPr>
              <w:t>3</w:t>
            </w:r>
            <w:r>
              <w:rPr>
                <w:rFonts w:hint="eastAsia" w:ascii="Times New Roman" w:hAnsi="Times New Roman" w:cs="Times New Roman"/>
                <w:spacing w:val="4"/>
                <w:sz w:val="24"/>
              </w:rPr>
              <w:t>，可吸入颗粒物（PM</w:t>
            </w:r>
            <w:r>
              <w:rPr>
                <w:rFonts w:hint="eastAsia" w:ascii="Times New Roman" w:hAnsi="Times New Roman" w:cs="Times New Roman"/>
                <w:spacing w:val="4"/>
                <w:sz w:val="24"/>
                <w:vertAlign w:val="subscript"/>
              </w:rPr>
              <w:t>10</w:t>
            </w:r>
            <w:r>
              <w:rPr>
                <w:rFonts w:hint="eastAsia" w:ascii="Times New Roman" w:hAnsi="Times New Roman" w:cs="Times New Roman"/>
                <w:spacing w:val="4"/>
                <w:sz w:val="24"/>
              </w:rPr>
              <w:t>）年平均浓度为74</w:t>
            </w:r>
            <w:r>
              <w:rPr>
                <w:rFonts w:ascii="Times New Roman" w:hAnsi="Times New Roman" w:cs="Times New Roman"/>
                <w:bCs/>
                <w:spacing w:val="4"/>
                <w:sz w:val="24"/>
              </w:rPr>
              <w:t>μg/m</w:t>
            </w:r>
            <w:r>
              <w:rPr>
                <w:rFonts w:ascii="Times New Roman" w:hAnsi="Times New Roman" w:cs="Times New Roman"/>
                <w:bCs/>
                <w:spacing w:val="4"/>
                <w:sz w:val="24"/>
                <w:vertAlign w:val="superscript"/>
              </w:rPr>
              <w:t>3</w:t>
            </w:r>
            <w:r>
              <w:rPr>
                <w:rFonts w:hint="eastAsia" w:ascii="Times New Roman" w:hAnsi="Times New Roman" w:cs="Times New Roman"/>
                <w:spacing w:val="4"/>
                <w:sz w:val="24"/>
              </w:rPr>
              <w:t>，均超过了《环境空气质量标准》（GB3095-2012）中的二级标准限值（PM</w:t>
            </w:r>
            <w:r>
              <w:rPr>
                <w:rFonts w:hint="eastAsia" w:ascii="Times New Roman" w:hAnsi="Times New Roman" w:cs="Times New Roman"/>
                <w:spacing w:val="4"/>
                <w:sz w:val="24"/>
                <w:vertAlign w:val="subscript"/>
              </w:rPr>
              <w:t>2.5</w:t>
            </w:r>
            <w:r>
              <w:rPr>
                <w:rFonts w:hint="eastAsia" w:ascii="Times New Roman" w:hAnsi="Times New Roman" w:cs="Times New Roman"/>
                <w:spacing w:val="4"/>
                <w:sz w:val="24"/>
              </w:rPr>
              <w:t>二级标准限值35</w:t>
            </w:r>
            <w:r>
              <w:rPr>
                <w:rFonts w:ascii="Times New Roman" w:hAnsi="Times New Roman" w:cs="Times New Roman"/>
                <w:bCs/>
                <w:spacing w:val="4"/>
                <w:sz w:val="24"/>
              </w:rPr>
              <w:t>μg/m</w:t>
            </w:r>
            <w:r>
              <w:rPr>
                <w:rFonts w:ascii="Times New Roman" w:hAnsi="Times New Roman" w:cs="Times New Roman"/>
                <w:bCs/>
                <w:spacing w:val="4"/>
                <w:sz w:val="24"/>
                <w:vertAlign w:val="superscript"/>
              </w:rPr>
              <w:t>3</w:t>
            </w:r>
            <w:r>
              <w:rPr>
                <w:rFonts w:hint="eastAsia" w:ascii="Times New Roman" w:hAnsi="Times New Roman" w:cs="Times New Roman"/>
                <w:spacing w:val="4"/>
                <w:sz w:val="24"/>
              </w:rPr>
              <w:t>，PM</w:t>
            </w:r>
            <w:r>
              <w:rPr>
                <w:rFonts w:hint="eastAsia" w:ascii="Times New Roman" w:hAnsi="Times New Roman" w:cs="Times New Roman"/>
                <w:spacing w:val="4"/>
                <w:sz w:val="24"/>
                <w:vertAlign w:val="subscript"/>
              </w:rPr>
              <w:t>10</w:t>
            </w:r>
            <w:r>
              <w:rPr>
                <w:rFonts w:hint="eastAsia" w:ascii="Times New Roman" w:hAnsi="Times New Roman" w:cs="Times New Roman"/>
                <w:spacing w:val="4"/>
                <w:sz w:val="24"/>
              </w:rPr>
              <w:t>二级标准限值70</w:t>
            </w:r>
            <w:r>
              <w:rPr>
                <w:rFonts w:ascii="Times New Roman" w:hAnsi="Times New Roman" w:cs="Times New Roman"/>
                <w:bCs/>
                <w:spacing w:val="4"/>
                <w:sz w:val="24"/>
              </w:rPr>
              <w:t>μg/m</w:t>
            </w:r>
            <w:r>
              <w:rPr>
                <w:rFonts w:ascii="Times New Roman" w:hAnsi="Times New Roman" w:cs="Times New Roman"/>
                <w:bCs/>
                <w:spacing w:val="4"/>
                <w:sz w:val="24"/>
                <w:vertAlign w:val="superscript"/>
              </w:rPr>
              <w:t>3</w:t>
            </w:r>
            <w:r>
              <w:rPr>
                <w:rFonts w:hint="eastAsia" w:ascii="Times New Roman" w:hAnsi="Times New Roman" w:cs="Times New Roman"/>
                <w:spacing w:val="4"/>
                <w:sz w:val="24"/>
              </w:rPr>
              <w:t>）。</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查阅《邵阳市污染防治攻坚战三年行动计划（2018-2020年）》中“各县市区PM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平均浓度改善目标”，邵东县2018年PM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年度目标为年均值47</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和72</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，2019年PM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年度目标为年均值44</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和70</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，2020年PM</w:t>
            </w:r>
            <w:r>
              <w:rPr>
                <w:rFonts w:hint="eastAsia" w:ascii="Times New Roman" w:hAnsi="Times New Roman" w:cs="Times New Roman"/>
                <w:sz w:val="24"/>
                <w:vertAlign w:val="subscript"/>
              </w:rPr>
              <w:t>2.5</w:t>
            </w:r>
            <w:r>
              <w:rPr>
                <w:rFonts w:hint="eastAsia" w:ascii="Times New Roman" w:hAnsi="Times New Roman" w:cs="Times New Roman"/>
                <w:sz w:val="24"/>
              </w:rPr>
              <w:t>和PM</w:t>
            </w:r>
            <w:r>
              <w:rPr>
                <w:rFonts w:hint="eastAsia" w:ascii="Times New Roman" w:hAnsi="Times New Roman" w:cs="Times New Roman"/>
                <w:sz w:val="24"/>
                <w:vertAlign w:val="subscript"/>
              </w:rPr>
              <w:t>10</w:t>
            </w:r>
            <w:r>
              <w:rPr>
                <w:rFonts w:hint="eastAsia" w:ascii="Times New Roman" w:hAnsi="Times New Roman" w:cs="Times New Roman"/>
                <w:sz w:val="24"/>
              </w:rPr>
              <w:t>年度目标为年均值42</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bCs/>
                <w:sz w:val="24"/>
              </w:rPr>
              <w:t>和68</w:t>
            </w:r>
            <w:r>
              <w:rPr>
                <w:rFonts w:ascii="Times New Roman" w:hAnsi="Times New Roman" w:cs="Times New Roman"/>
                <w:bCs/>
                <w:sz w:val="24"/>
              </w:rPr>
              <w:t>μg/m</w:t>
            </w:r>
            <w:r>
              <w:rPr>
                <w:rFonts w:ascii="Times New Roman" w:hAnsi="Times New Roman" w:cs="Times New Roman"/>
                <w:bCs/>
                <w:sz w:val="24"/>
                <w:vertAlign w:val="superscript"/>
              </w:rPr>
              <w:t>3</w:t>
            </w:r>
            <w:r>
              <w:rPr>
                <w:rFonts w:hint="eastAsia" w:ascii="Times New Roman" w:hAnsi="Times New Roman" w:cs="Times New Roman"/>
                <w:sz w:val="24"/>
              </w:rPr>
              <w:t>。结合邵东县政府网发布的2018年各季度环境空气质量统计数据，从环境质量改善目标的角度而言，区域大气环境质量已达考核目标要求。</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声环境质量现状：</w:t>
            </w:r>
            <w:r>
              <w:rPr>
                <w:rFonts w:hint="eastAsia" w:ascii="Times New Roman" w:hAnsi="Times New Roman" w:cs="Times New Roman"/>
                <w:sz w:val="24"/>
              </w:rPr>
              <w:t>根据项目区域声环境现状监测结果可知，项目所在区域内四周噪声监测点的噪声均</w:t>
            </w:r>
            <w:r>
              <w:rPr>
                <w:rFonts w:ascii="Times New Roman" w:hAnsi="Times New Roman" w:cs="Times New Roman"/>
                <w:sz w:val="24"/>
              </w:rPr>
              <w:t>符合《声环境质量标准》（GB3096-2008）中的</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功能区</w:t>
            </w:r>
            <w:r>
              <w:rPr>
                <w:rFonts w:ascii="Times New Roman" w:hAnsi="Times New Roman" w:cs="Times New Roman"/>
                <w:sz w:val="24"/>
              </w:rPr>
              <w:t>标准</w:t>
            </w:r>
            <w:r>
              <w:rPr>
                <w:rFonts w:hint="eastAsia" w:ascii="Times New Roman" w:hAnsi="Times New Roman" w:cs="Times New Roman"/>
                <w:sz w:val="24"/>
              </w:rPr>
              <w:t>限值要求</w:t>
            </w:r>
            <w:r>
              <w:rPr>
                <w:rFonts w:ascii="Times New Roman" w:hAnsi="Times New Roman" w:cs="Times New Roman"/>
                <w:sz w:val="24"/>
              </w:rPr>
              <w:t>，</w:t>
            </w:r>
            <w:r>
              <w:rPr>
                <w:rFonts w:hint="eastAsia" w:ascii="Times New Roman" w:hAnsi="Times New Roman" w:cs="Times New Roman"/>
                <w:sz w:val="24"/>
              </w:rPr>
              <w:t>表明</w:t>
            </w:r>
            <w:r>
              <w:rPr>
                <w:rFonts w:ascii="Times New Roman" w:hAnsi="Times New Roman" w:cs="Times New Roman"/>
                <w:sz w:val="24"/>
              </w:rPr>
              <w:t>项目区域声环境质量良好。</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3）生态环境现状：根据现场踏勘，评价区域位于邵东县东南部，距离火厂坪镇镇区1.2km，本项目周边主要以农田、旱土、乔木（东北松）、灌木和茅草为主，区域内未发现珍稀野生动、植物，无自然保护区和名胜古迹。项目周边2.5km范围内分布有较多采石场，各采石场造成了一定的生态破坏。本项目的建设不会使评价区野生动物物种发生变化，其种群数量也不会发生明显变化。因此，本项目的建设对项目区生态坏境的影响不大。</w:t>
            </w:r>
          </w:p>
          <w:p>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9.1.3项目符合性分析结论</w:t>
            </w:r>
          </w:p>
          <w:p>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（1）产业政策符合性</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本项目为石材加工和利用石材加工产生的边角料等废弃资源进行砂石料生产的建设项目，对照根据国家发改委发布的《</w:t>
            </w:r>
            <w:r>
              <w:rPr>
                <w:rFonts w:ascii="Times New Roman" w:hAnsi="Times New Roman" w:cs="Times New Roman"/>
                <w:sz w:val="24"/>
              </w:rPr>
              <w:t>产业结构调整指导目录</w:t>
            </w:r>
            <w:r>
              <w:rPr>
                <w:rFonts w:hint="eastAsia" w:ascii="Times New Roman" w:hAnsi="Times New Roman" w:cs="Times New Roman"/>
                <w:sz w:val="24"/>
              </w:rPr>
              <w:t>》（2013年修正），本项目石材加工生产线不属于该目录中“鼓励类”、“限制类”或“淘汰类”，为允许建设项目；砂石生产线属于该目录中“第一类，鼓励类：十二、建材（11、废矿石、尾矿和建筑废弃物的综合利用）”类别；查阅国家发展改革委和商务部发布的《市场准入负面清单（2018年版）》（发改经体〔2018〕1892号），本项目不属于其中的禁止类项目。</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综上，本项目符合国家现行产业政策要求。</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（2）项目选址合理性分析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项目选址</w:t>
            </w:r>
            <w:r>
              <w:rPr>
                <w:rFonts w:hint="eastAsia" w:ascii="Times New Roman" w:hAnsi="Times New Roman" w:cs="Times New Roman"/>
                <w:sz w:val="24"/>
              </w:rPr>
              <w:t>邵东县火厂坪镇</w:t>
            </w:r>
            <w:r>
              <w:rPr>
                <w:rFonts w:ascii="Times New Roman" w:hAnsi="Times New Roman" w:cs="Times New Roman"/>
                <w:sz w:val="24"/>
              </w:rPr>
              <w:t>，</w:t>
            </w:r>
            <w:r>
              <w:rPr>
                <w:rFonts w:hint="eastAsia" w:ascii="Times New Roman" w:hAnsi="Times New Roman" w:cs="Times New Roman"/>
                <w:sz w:val="24"/>
              </w:rPr>
              <w:t>租赁龙新村李家屋组集体土地（租赁合同详见附件3）进行建设，该场地原为闲置土地。目前项目用地手续正在办理中。项目不在邵阳市生态保护红线范围内，符合“三线一单”管理要求。项目所在区域交通便利，水、电等资源满足项目要求，项目区域环境质量较好，项目建设产生的污染物的排放可完全达标，经过预测，项目投产后对大气、地表水、声环境的影响可控制在可接受范围内，与周边区域环境相符。总体而言，本项目选址符合环保要求。</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（5）项目平面布局合理性分析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从总体平面布置上来看，该项目功能区划分比较明确，厂区布置紧凑合理，生产线布设可减少产品运输距离，厂区运输流畅。项目生产区和办公区域分开布置，且生产区位于办公区北侧，中间间隔有石板产品堆场；邵东县常年主导风为东风，年出现频率为7.9%，总体来说，营运期废气排放对办公生活区及南侧居民点影响不大。项目切割设备、破碎和筛分设备均位于厂区生产车间内，场地经平整后四周均有山坡阻隔，且远离北侧和南侧的居民点，利用车间墙体和山坡的阻隔以及距离衰减作用最大程度减少噪声敏感目标的影响。</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综上，本项目平面布置有利于降低营运期污染物排放对周边环境的影响，从环保角度而言，本项目平面布局较为合理。</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9.1.4</w:t>
            </w:r>
            <w:r>
              <w:rPr>
                <w:rFonts w:ascii="Times New Roman" w:hAnsi="Times New Roman" w:cs="Times New Roman"/>
                <w:b/>
                <w:sz w:val="24"/>
              </w:rPr>
              <w:t>环境影响分析</w:t>
            </w:r>
            <w:r>
              <w:rPr>
                <w:rFonts w:hint="eastAsia" w:ascii="Times New Roman" w:hAnsi="Times New Roman" w:cs="Times New Roman"/>
                <w:b/>
                <w:sz w:val="24"/>
              </w:rPr>
              <w:t>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（1）水环境影响评价结论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项目产生的废水主要为车辆冲洗废水、石材加工废水、地表径流水和生活污水。项目生活污水经化粪池处理后用作农肥；石材加工废水、车辆清洗废水和初期雨水中的主要污染物为SS，经沉淀处理后回用于生产。采取上述措施后，废水对周边水环境影响不大。</w:t>
            </w:r>
          </w:p>
          <w:p>
            <w:pPr>
              <w:spacing w:line="360" w:lineRule="auto"/>
              <w:ind w:firstLine="482"/>
              <w:rPr>
                <w:rFonts w:ascii="Times New Roman" w:hAnsi="Times New Roman" w:cs="Times New Roman"/>
                <w:sz w:val="24"/>
              </w:rPr>
            </w:pPr>
            <w:r>
              <w:rPr>
                <w:rFonts w:hint="eastAsia" w:ascii="Times New Roman" w:hAnsi="Times New Roman" w:cs="Times New Roman"/>
                <w:sz w:val="24"/>
              </w:rPr>
              <w:t>（2）环境空气影响评价结论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本项目营运过程中</w:t>
            </w:r>
            <w:r>
              <w:rPr>
                <w:rFonts w:hint="eastAsia" w:ascii="Times New Roman" w:hAnsi="Times New Roman" w:cs="宋体"/>
                <w:sz w:val="24"/>
              </w:rPr>
              <w:t>石材切割和抛磨、投料、破碎和筛分、堆场、落料和装卸、运输等环节会产生扬尘和粉尘，此外运输还会产生一定量的燃油废气。粉尘（颗粒物）是本项目最主要的大气污染物，由于本项目整个石材加工均采用湿式作业，砂石生产过程中物料湿度较大，故能有效控制粉尘的产生。</w:t>
            </w:r>
            <w:r>
              <w:rPr>
                <w:rFonts w:hint="eastAsia" w:ascii="Times New Roman" w:hAnsi="Times New Roman" w:cs="Times New Roman"/>
                <w:sz w:val="24"/>
              </w:rPr>
              <w:t>建设单位拟</w:t>
            </w:r>
            <w:r>
              <w:rPr>
                <w:rFonts w:hint="eastAsia" w:ascii="Times New Roman" w:hAnsi="Times New Roman" w:cs="宋体"/>
                <w:sz w:val="24"/>
              </w:rPr>
              <w:t>配备移动式抑尘雾炮机，</w:t>
            </w:r>
            <w:r>
              <w:rPr>
                <w:rFonts w:hint="eastAsia" w:ascii="Times New Roman" w:hAnsi="Times New Roman" w:cs="Times New Roman"/>
                <w:sz w:val="24"/>
              </w:rPr>
              <w:t>建设封闭生产车间，并对砂石破碎和筛分设备进行封闭（破碎和筛分粉尘经负压收集和布袋除尘器处理后由15m高排气筒排放）；项目拟建设物料室内堆场雾化喷头，对输送皮带进行全封闭，对厂区道路进行硬化并及时洒水抑尘。采取上述措施后，项目废气对周边环境影响不大。</w:t>
            </w:r>
          </w:p>
          <w:p>
            <w:pPr>
              <w:spacing w:line="360" w:lineRule="auto"/>
              <w:ind w:firstLine="482"/>
              <w:rPr>
                <w:rFonts w:ascii="Times New Roman" w:hAnsi="Times New Roman" w:cs="Times New Roman"/>
                <w:sz w:val="24"/>
              </w:rPr>
            </w:pPr>
            <w:r>
              <w:rPr>
                <w:rFonts w:hint="eastAsia" w:ascii="Times New Roman" w:hAnsi="Times New Roman" w:cs="Times New Roman"/>
                <w:sz w:val="24"/>
              </w:rPr>
              <w:t>（3）噪声环境影响评价结论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噪声主要来源于切割机、磨边机、破碎机、振动筛等各类生产设备。本项目夜间不生产，高噪设备加装隔声罩并布置在厂房内部，项目营运期设备噪声经基础减震、厂房和声屏障隔声、山体阻隔以及距离衰减后能够达标排放，对周边环境的影响不大。</w:t>
            </w:r>
          </w:p>
          <w:p>
            <w:pPr>
              <w:spacing w:line="360" w:lineRule="auto"/>
              <w:ind w:firstLine="482"/>
              <w:rPr>
                <w:rFonts w:ascii="Times New Roman" w:hAnsi="Times New Roman" w:cs="Times New Roman"/>
                <w:sz w:val="24"/>
              </w:rPr>
            </w:pPr>
            <w:r>
              <w:rPr>
                <w:rFonts w:hint="eastAsia" w:ascii="Times New Roman" w:hAnsi="Times New Roman" w:cs="Times New Roman"/>
                <w:sz w:val="24"/>
              </w:rPr>
              <w:t>（4）固废环境影响评价结论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产生的固体废物主要为生产固废和生活垃圾。生产固废主要为石材加工边角料、沉淀池沉渣（石粉）以及和除尘器收集粉尘。项目石材加工生产线石材切割、磨边产生的边角料转运至本项目砂石生产线用作砂石生产原料；沉淀池沉渣和除尘器收集的粉尘主要成分为石粉，与产品一同外售；项目生活垃圾统一收集后交环卫部门清运，运往城市生活垃圾处置场处理。</w:t>
            </w:r>
          </w:p>
          <w:p>
            <w:pPr>
              <w:spacing w:line="360" w:lineRule="auto"/>
              <w:ind w:firstLine="482"/>
              <w:rPr>
                <w:rFonts w:ascii="Times New Roman" w:hAnsi="Times New Roman" w:cs="Times New Roman"/>
                <w:sz w:val="24"/>
              </w:rPr>
            </w:pPr>
            <w:r>
              <w:rPr>
                <w:rFonts w:hint="eastAsia" w:ascii="Times New Roman" w:hAnsi="Times New Roman" w:cs="Times New Roman"/>
                <w:sz w:val="24"/>
              </w:rPr>
              <w:t>综上分析，采取以上的处置措施后，再加之严格管理，项目运营期产生的固体废弃物均能够得到妥善的处置，不会对周围环境产生明显的不利影响。</w:t>
            </w:r>
          </w:p>
          <w:p>
            <w:pPr>
              <w:widowControl/>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9.1.5环境风险</w:t>
            </w:r>
            <w:r>
              <w:rPr>
                <w:rFonts w:ascii="Times New Roman" w:hAnsi="Times New Roman" w:cs="Times New Roman"/>
                <w:b/>
                <w:sz w:val="24"/>
              </w:rPr>
              <w:t>分析</w:t>
            </w:r>
            <w:r>
              <w:rPr>
                <w:rFonts w:hint="eastAsia" w:ascii="Times New Roman" w:hAnsi="Times New Roman" w:cs="Times New Roman"/>
                <w:b/>
                <w:sz w:val="24"/>
              </w:rPr>
              <w:t>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为石材加工和利用石材加工厂废石料等废弃资源进行砂石料生产的建设项目，项目原材料和产品中不涉及有毒、有害或易燃、易爆等危险化学品，本项目不涉及饮用水源保护区。只要平时重视生产管理，严格遵守有关规章制度，严格执行事故风险防范措施，避免失误操作，并备有应急救灾计划与物资，事故发生后立即启动应急预案，有组织地进行抗灾救灾和善后恢复、补偿工作，可以减缓项目对周围环境造成的危害和影响。</w:t>
            </w:r>
          </w:p>
          <w:p>
            <w:pPr>
              <w:widowControl/>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本项目在落实环境风险有关规定，采取有针对性的风险防范措施及应急措施，并严格接受主管部门监管的前提下可将风险事故降至可控范围之内，项目拟采取的风险防范措施是切实、可行的。</w:t>
            </w:r>
          </w:p>
          <w:p>
            <w:pPr>
              <w:widowControl/>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9.1.6总量控制结论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本项目中大气污染因子主要为扬尘，不属于总量控制因子，无需申请总量控制指标；生活污水经化粪池处理后作为农肥，不外排，生产废水经沉淀处理后回用于生产。综上，所以本项目无需申请总量指标。</w:t>
            </w:r>
          </w:p>
          <w:p>
            <w:pPr>
              <w:widowControl/>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9.1.9综合评价结论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本项目符合国家相关产业政策和环保要求，具有较好的经济效益和社会效益。本项目生产工艺稳定成熟、选址与布局基本可行；区域目前水环境及声环境质量现状良好，大气污染物排放满足区域环境质量改善目标要求，无明显环境制约因素。本项目在切实做好各项污染防治措施和风险防范措施，确保环保设备长期稳定正常运行，严格执行“三同时”制度、实现污染物达标排放的情况下，其建设、运营对环境的不利影响可控制在当地环境能够承受的范围内。从环境保护角度分析，项目的建设是可行的。</w:t>
            </w:r>
          </w:p>
          <w:p>
            <w:pPr>
              <w:spacing w:line="360" w:lineRule="auto"/>
              <w:rPr>
                <w:rFonts w:ascii="Times New Roman" w:hAnsi="Times New Roman" w:cs="Times New Roman"/>
                <w:b/>
                <w:sz w:val="28"/>
                <w:szCs w:val="28"/>
              </w:rPr>
            </w:pPr>
            <w:r>
              <w:rPr>
                <w:rFonts w:hint="eastAsia" w:ascii="Times New Roman" w:hAnsi="Times New Roman" w:cs="Times New Roman"/>
                <w:b/>
                <w:sz w:val="28"/>
                <w:szCs w:val="28"/>
              </w:rPr>
              <w:t>9.2建议和要求</w:t>
            </w:r>
          </w:p>
          <w:p>
            <w:pPr>
              <w:spacing w:line="360" w:lineRule="auto"/>
              <w:ind w:firstLine="482"/>
              <w:rPr>
                <w:rFonts w:ascii="Times New Roman" w:hAnsi="Times New Roman" w:cs="Times New Roman"/>
                <w:sz w:val="24"/>
              </w:rPr>
            </w:pPr>
            <w:r>
              <w:rPr>
                <w:rFonts w:hint="eastAsia" w:ascii="Times New Roman" w:hAnsi="Times New Roman" w:cs="Times New Roman"/>
                <w:sz w:val="24"/>
              </w:rPr>
              <w:t>为保护环境，最大限度减轻项目建设对环境的影响，本次环评提出以下建议和要求：</w:t>
            </w:r>
          </w:p>
          <w:p>
            <w:pPr>
              <w:spacing w:line="360" w:lineRule="auto"/>
              <w:ind w:firstLine="482"/>
              <w:rPr>
                <w:rFonts w:ascii="Times New Roman" w:hAnsi="Times New Roman" w:cs="Times New Roman"/>
                <w:sz w:val="24"/>
              </w:rPr>
            </w:pPr>
            <w:r>
              <w:rPr>
                <w:rFonts w:hint="eastAsia" w:ascii="Times New Roman" w:hAnsi="Times New Roman" w:cs="Times New Roman"/>
                <w:sz w:val="24"/>
              </w:rPr>
              <w:t>（1）严格执行环保“三同时”，环保设施与主体工程同时设计、同时施工、同时运 行投产；项目建成后，经验收合格方可投入使用。</w:t>
            </w:r>
          </w:p>
          <w:p>
            <w:pPr>
              <w:spacing w:line="360" w:lineRule="auto"/>
              <w:ind w:firstLine="482"/>
              <w:rPr>
                <w:rFonts w:ascii="Times New Roman" w:hAnsi="Times New Roman" w:cs="Times New Roman"/>
                <w:sz w:val="24"/>
              </w:rPr>
            </w:pPr>
            <w:r>
              <w:rPr>
                <w:rFonts w:hint="eastAsia" w:ascii="Times New Roman" w:hAnsi="Times New Roman" w:cs="Times New Roman"/>
                <w:sz w:val="24"/>
              </w:rPr>
              <w:t>（2）严格执行国家有关环保政策，落实本报告提出的环保措施。</w:t>
            </w:r>
          </w:p>
          <w:p>
            <w:pPr>
              <w:spacing w:line="360" w:lineRule="auto"/>
              <w:ind w:firstLine="482"/>
              <w:rPr>
                <w:rFonts w:ascii="Times New Roman" w:hAnsi="Times New Roman" w:cs="Times New Roman"/>
                <w:sz w:val="24"/>
              </w:rPr>
            </w:pPr>
            <w:r>
              <w:rPr>
                <w:rFonts w:hint="eastAsia" w:ascii="Times New Roman" w:hAnsi="Times New Roman" w:cs="Times New Roman"/>
                <w:sz w:val="24"/>
              </w:rPr>
              <w:t>（3）项目营运期要加强对各生产及环保设施的日常管理与维护，使这些设施能够正常运行，确保治理效果，实现污染物稳定达标排放。</w:t>
            </w:r>
          </w:p>
          <w:p>
            <w:pPr>
              <w:spacing w:line="360" w:lineRule="auto"/>
              <w:ind w:firstLine="482"/>
              <w:rPr>
                <w:rFonts w:ascii="Times New Roman" w:hAnsi="Times New Roman" w:cs="Times New Roman"/>
                <w:sz w:val="24"/>
              </w:rPr>
            </w:pPr>
            <w:r>
              <w:rPr>
                <w:rFonts w:hint="eastAsia" w:ascii="Times New Roman" w:hAnsi="Times New Roman" w:cs="Times New Roman"/>
                <w:sz w:val="24"/>
              </w:rPr>
              <w:t>（4）做好厂区污染防治措施，处理好与周边居民的关系问题，对于由本项目营运引起的居民问题应积极应对、及时沟通协调解决，若因环保问题引发居民投诉，应立即停止生产，避免引发社会矛盾。</w:t>
            </w:r>
          </w:p>
          <w:p>
            <w:pPr>
              <w:spacing w:line="360" w:lineRule="auto"/>
              <w:ind w:firstLine="482"/>
              <w:rPr>
                <w:rFonts w:ascii="Times New Roman" w:hAnsi="Times New Roman" w:cs="Times New Roman"/>
                <w:sz w:val="24"/>
              </w:rPr>
            </w:pPr>
            <w:r>
              <w:rPr>
                <w:rFonts w:hint="eastAsia" w:ascii="Times New Roman" w:hAnsi="Times New Roman" w:cs="Times New Roman"/>
                <w:sz w:val="24"/>
              </w:rPr>
              <w:t>（5）加强运输管理，减少噪声及扬尘对运输道路沿线敏感点的影响。</w:t>
            </w:r>
          </w:p>
          <w:p>
            <w:pPr>
              <w:spacing w:line="360" w:lineRule="auto"/>
              <w:ind w:firstLine="482"/>
              <w:rPr>
                <w:rFonts w:ascii="Times New Roman" w:hAnsi="Times New Roman" w:cs="Times New Roman"/>
                <w:sz w:val="24"/>
                <w:u w:val="single"/>
              </w:rPr>
            </w:pPr>
            <w:r>
              <w:rPr>
                <w:rFonts w:hint="eastAsia" w:ascii="Times New Roman" w:hAnsi="Times New Roman" w:cs="Times New Roman"/>
                <w:sz w:val="24"/>
                <w:u w:val="single"/>
              </w:rPr>
              <w:t>（6）建设单位应对项目生产原料来源进行严格把关，不得外购采石场碎石进行生产，只能使用大理石、花岗岩、石灰岩等废石料进行生产，并确保原料放射性符合《建筑材料放射性核素限量》（GB 6566-2010）。禁止以金属矿废石、危险废物等有毒有害物质为原料。</w:t>
            </w:r>
          </w:p>
          <w:p>
            <w:pPr>
              <w:spacing w:line="360" w:lineRule="auto"/>
              <w:ind w:firstLine="482"/>
              <w:rPr>
                <w:rFonts w:ascii="Times New Roman" w:hAnsi="Times New Roman" w:cs="Times New Roman"/>
                <w:sz w:val="24"/>
              </w:rPr>
            </w:pPr>
            <w:r>
              <w:rPr>
                <w:rFonts w:hint="eastAsia" w:ascii="Times New Roman" w:hAnsi="Times New Roman" w:cs="Times New Roman"/>
                <w:sz w:val="24"/>
              </w:rPr>
              <w:t>（7）做好厂区防渗措施，对废水池以及沉淀池采取防渗漏防溢出处理，避免废水泄露污染土壤和地下水。</w:t>
            </w:r>
          </w:p>
          <w:p>
            <w:pPr>
              <w:spacing w:line="360" w:lineRule="auto"/>
              <w:ind w:firstLine="482"/>
              <w:rPr>
                <w:rFonts w:ascii="Times New Roman" w:hAnsi="Times New Roman" w:cs="Times New Roman"/>
                <w:sz w:val="24"/>
                <w:u w:val="single"/>
              </w:rPr>
            </w:pPr>
            <w:r>
              <w:rPr>
                <w:rFonts w:hint="eastAsia" w:ascii="Times New Roman" w:hAnsi="Times New Roman" w:cs="Times New Roman"/>
                <w:sz w:val="24"/>
              </w:rPr>
              <w:t>（8）厂区四周建设围墙等隔音屏障（高于设备），做好厂区粉尘污染防治措施（配备移动式雾炮机，物料室内堆存，输送皮带全封闭，各产尘点设置雾化喷头，破碎和筛分设备进行封闭并安装布袋除尘器等），降低对营运期粉尘周边环境的影响。</w:t>
            </w:r>
          </w:p>
        </w:tc>
      </w:tr>
    </w:tbl>
    <w:p>
      <w:pPr>
        <w:widowControl/>
        <w:jc w:val="left"/>
        <w:rPr>
          <w:rFonts w:ascii="Times New Roman" w:hAnsi="Times New Roman" w:cs="Times New Roman"/>
        </w:rPr>
        <w:sectPr>
          <w:pgSz w:w="11906" w:h="16838"/>
          <w:pgMar w:top="1440" w:right="1418" w:bottom="1440" w:left="1418" w:header="851" w:footer="992" w:gutter="0"/>
          <w:cols w:space="720" w:num="1"/>
          <w:docGrid w:type="lines" w:linePitch="312" w:charSpace="0"/>
        </w:sectPr>
      </w:pPr>
    </w:p>
    <w:tbl>
      <w:tblPr>
        <w:tblStyle w:val="25"/>
        <w:tblW w:w="9286" w:type="dxa"/>
        <w:jc w:val="center"/>
        <w:tblInd w:w="0" w:type="dxa"/>
        <w:tblLayout w:type="fixed"/>
        <w:tblCellMar>
          <w:top w:w="0" w:type="dxa"/>
          <w:left w:w="108" w:type="dxa"/>
          <w:bottom w:w="0" w:type="dxa"/>
          <w:right w:w="108" w:type="dxa"/>
        </w:tblCellMar>
      </w:tblPr>
      <w:tblGrid>
        <w:gridCol w:w="9286"/>
      </w:tblGrid>
      <w:tr>
        <w:tblPrEx>
          <w:tblLayout w:type="fixed"/>
          <w:tblCellMar>
            <w:top w:w="0" w:type="dxa"/>
            <w:left w:w="108" w:type="dxa"/>
            <w:bottom w:w="0" w:type="dxa"/>
            <w:right w:w="108" w:type="dxa"/>
          </w:tblCellMar>
        </w:tblPrEx>
        <w:trPr>
          <w:trHeight w:val="13521" w:hRule="atLeast"/>
          <w:jc w:val="center"/>
        </w:trPr>
        <w:tc>
          <w:tcPr>
            <w:tcW w:w="9286" w:type="dxa"/>
            <w:tcBorders>
              <w:top w:val="single" w:color="auto" w:sz="12" w:space="0"/>
              <w:left w:val="single" w:color="auto" w:sz="12" w:space="0"/>
              <w:bottom w:val="single" w:color="auto" w:sz="12" w:space="0"/>
              <w:right w:val="single" w:color="auto" w:sz="12" w:space="0"/>
            </w:tcBorders>
          </w:tcPr>
          <w:p>
            <w:pPr>
              <w:jc w:val="center"/>
              <w:rPr>
                <w:rFonts w:ascii="Times New Roman" w:hAnsi="Times New Roman" w:cs="Times New Roman"/>
                <w:b/>
                <w:sz w:val="32"/>
                <w:szCs w:val="32"/>
              </w:rPr>
            </w:pPr>
            <w:r>
              <w:rPr>
                <w:rFonts w:ascii="Times New Roman" w:hAnsi="Times New Roman" w:cs="Times New Roman"/>
                <w:b/>
                <w:sz w:val="32"/>
                <w:szCs w:val="32"/>
              </w:rPr>
              <w:t>注  释</w:t>
            </w:r>
          </w:p>
          <w:p>
            <w:pPr>
              <w:ind w:left="480"/>
              <w:jc w:val="left"/>
              <w:rPr>
                <w:rFonts w:ascii="Times New Roman" w:hAnsi="Times New Roman" w:cs="Times New Roman"/>
                <w:b/>
                <w:sz w:val="24"/>
              </w:rPr>
            </w:pPr>
            <w:r>
              <w:rPr>
                <w:rFonts w:ascii="Times New Roman" w:hAnsi="Times New Roman" w:cs="Times New Roman"/>
                <w:b/>
                <w:sz w:val="24"/>
              </w:rPr>
              <w:t>一、本报告表应附以下附件</w:t>
            </w:r>
            <w:r>
              <w:rPr>
                <w:rFonts w:hint="eastAsia" w:ascii="Times New Roman" w:hAnsi="Times New Roman" w:cs="Times New Roman"/>
                <w:b/>
                <w:sz w:val="24"/>
              </w:rPr>
              <w:t>、附图</w:t>
            </w:r>
            <w:r>
              <w:rPr>
                <w:rFonts w:ascii="Times New Roman" w:hAnsi="Times New Roman" w:cs="Times New Roman"/>
                <w:b/>
                <w:sz w:val="24"/>
              </w:rPr>
              <w:t>：</w:t>
            </w:r>
          </w:p>
          <w:p>
            <w:pPr>
              <w:ind w:left="480"/>
              <w:jc w:val="left"/>
              <w:rPr>
                <w:rFonts w:ascii="Times New Roman" w:hAnsi="Times New Roman" w:cs="Times New Roman"/>
                <w:b/>
                <w:sz w:val="24"/>
              </w:rPr>
            </w:pPr>
          </w:p>
          <w:p>
            <w:pPr>
              <w:pStyle w:val="2"/>
              <w:spacing w:line="300" w:lineRule="auto"/>
              <w:ind w:firstLine="482" w:firstLineChars="200"/>
              <w:rPr>
                <w:sz w:val="24"/>
                <w:szCs w:val="24"/>
              </w:rPr>
            </w:pPr>
            <w:bookmarkStart w:id="86" w:name="_Toc7464064"/>
            <w:r>
              <w:rPr>
                <w:sz w:val="24"/>
                <w:szCs w:val="24"/>
              </w:rPr>
              <w:t>附件：</w:t>
            </w:r>
            <w:bookmarkEnd w:id="86"/>
          </w:p>
          <w:p>
            <w:pPr>
              <w:overflowPunct w:val="0"/>
              <w:spacing w:line="300" w:lineRule="auto"/>
              <w:ind w:left="482" w:right="450"/>
              <w:jc w:val="left"/>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1</w:t>
            </w:r>
            <w:r>
              <w:rPr>
                <w:rFonts w:ascii="Times New Roman" w:hAnsi="Times New Roman" w:cs="Times New Roman"/>
                <w:sz w:val="24"/>
              </w:rPr>
              <w:t xml:space="preserve">  环评</w:t>
            </w:r>
            <w:r>
              <w:rPr>
                <w:rFonts w:hint="eastAsia" w:ascii="Times New Roman" w:hAnsi="Times New Roman" w:cs="Times New Roman"/>
                <w:sz w:val="24"/>
              </w:rPr>
              <w:t>委托书</w:t>
            </w:r>
          </w:p>
          <w:p>
            <w:pPr>
              <w:overflowPunct w:val="0"/>
              <w:spacing w:line="300" w:lineRule="auto"/>
              <w:ind w:left="482" w:right="450"/>
              <w:jc w:val="left"/>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2</w:t>
            </w:r>
            <w:r>
              <w:rPr>
                <w:rFonts w:ascii="Times New Roman" w:hAnsi="Times New Roman" w:cs="Times New Roman"/>
                <w:sz w:val="24"/>
              </w:rPr>
              <w:t xml:space="preserve">  建设单位营业执照</w:t>
            </w:r>
          </w:p>
          <w:p>
            <w:pPr>
              <w:overflowPunct w:val="0"/>
              <w:spacing w:line="300" w:lineRule="auto"/>
              <w:ind w:left="482" w:right="450"/>
              <w:jc w:val="left"/>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3</w:t>
            </w:r>
            <w:r>
              <w:rPr>
                <w:rFonts w:ascii="Times New Roman" w:hAnsi="Times New Roman" w:cs="Times New Roman"/>
                <w:sz w:val="24"/>
              </w:rPr>
              <w:t xml:space="preserve">  </w:t>
            </w:r>
            <w:r>
              <w:rPr>
                <w:rFonts w:hint="eastAsia" w:ascii="Times New Roman" w:hAnsi="Times New Roman" w:cs="Times New Roman"/>
                <w:sz w:val="24"/>
              </w:rPr>
              <w:t>场地租赁合同</w:t>
            </w:r>
          </w:p>
          <w:p>
            <w:pPr>
              <w:spacing w:line="300" w:lineRule="auto"/>
              <w:ind w:left="482"/>
              <w:jc w:val="left"/>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4</w:t>
            </w:r>
            <w:r>
              <w:rPr>
                <w:rFonts w:ascii="Times New Roman" w:hAnsi="Times New Roman" w:cs="Times New Roman"/>
                <w:sz w:val="24"/>
              </w:rPr>
              <w:t xml:space="preserve">  </w:t>
            </w:r>
            <w:r>
              <w:rPr>
                <w:rFonts w:hint="eastAsia" w:ascii="Times New Roman" w:hAnsi="Times New Roman" w:cs="Times New Roman"/>
                <w:sz w:val="24"/>
              </w:rPr>
              <w:t>环境质量现状监测报告和质量保证单</w:t>
            </w:r>
          </w:p>
          <w:p>
            <w:pPr>
              <w:spacing w:line="300" w:lineRule="auto"/>
              <w:ind w:left="482"/>
              <w:jc w:val="left"/>
              <w:rPr>
                <w:rFonts w:ascii="Times New Roman" w:hAnsi="Times New Roman" w:cs="Times New Roman"/>
                <w:sz w:val="24"/>
              </w:rPr>
            </w:pPr>
          </w:p>
          <w:p>
            <w:pPr>
              <w:pStyle w:val="2"/>
              <w:spacing w:line="300" w:lineRule="auto"/>
              <w:ind w:firstLine="482" w:firstLineChars="200"/>
              <w:rPr>
                <w:sz w:val="24"/>
                <w:szCs w:val="24"/>
              </w:rPr>
            </w:pPr>
            <w:bookmarkStart w:id="87" w:name="_Toc7464065"/>
            <w:r>
              <w:rPr>
                <w:sz w:val="24"/>
                <w:szCs w:val="24"/>
              </w:rPr>
              <w:t>附图：</w:t>
            </w:r>
            <w:bookmarkEnd w:id="87"/>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附图1 项目地理位置图</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附图2</w:t>
            </w:r>
            <w:r>
              <w:rPr>
                <w:rFonts w:hint="eastAsia" w:ascii="Times New Roman" w:hAnsi="Times New Roman" w:cs="Times New Roman"/>
                <w:sz w:val="24"/>
              </w:rPr>
              <w:t xml:space="preserve"> 厂区平面布置图</w:t>
            </w:r>
          </w:p>
          <w:p>
            <w:pPr>
              <w:overflowPunct w:val="0"/>
              <w:spacing w:line="300" w:lineRule="auto"/>
              <w:ind w:left="480" w:right="450"/>
              <w:jc w:val="left"/>
              <w:rPr>
                <w:rFonts w:ascii="Times New Roman" w:hAnsi="Times New Roman" w:cs="Times New Roman"/>
                <w:sz w:val="24"/>
              </w:rPr>
            </w:pPr>
            <w:r>
              <w:rPr>
                <w:rFonts w:hint="eastAsia" w:ascii="Times New Roman" w:hAnsi="Times New Roman" w:cs="Times New Roman"/>
                <w:sz w:val="24"/>
              </w:rPr>
              <w:t>附图3 环境质量现状监测点位示意图</w:t>
            </w:r>
          </w:p>
          <w:p>
            <w:pPr>
              <w:overflowPunct w:val="0"/>
              <w:spacing w:line="300" w:lineRule="auto"/>
              <w:ind w:left="480" w:right="450"/>
              <w:jc w:val="left"/>
              <w:rPr>
                <w:rFonts w:ascii="Times New Roman" w:hAnsi="Times New Roman" w:cs="Times New Roman"/>
                <w:sz w:val="24"/>
              </w:rPr>
            </w:pPr>
            <w:r>
              <w:rPr>
                <w:rFonts w:hint="eastAsia" w:ascii="Times New Roman" w:hAnsi="Times New Roman" w:cs="Times New Roman"/>
                <w:sz w:val="24"/>
              </w:rPr>
              <w:t>附图4 环境保护目标分布示意图</w:t>
            </w:r>
          </w:p>
          <w:p>
            <w:pPr>
              <w:overflowPunct w:val="0"/>
              <w:spacing w:line="300" w:lineRule="auto"/>
              <w:ind w:left="480" w:right="450"/>
              <w:jc w:val="left"/>
              <w:rPr>
                <w:rFonts w:ascii="Times New Roman" w:hAnsi="Times New Roman" w:cs="Times New Roman"/>
                <w:sz w:val="24"/>
              </w:rPr>
            </w:pPr>
            <w:r>
              <w:rPr>
                <w:rFonts w:hint="eastAsia" w:ascii="Times New Roman" w:hAnsi="Times New Roman" w:cs="Times New Roman"/>
                <w:sz w:val="24"/>
              </w:rPr>
              <w:t>附图5 项目现场及周边环境现状照片</w:t>
            </w:r>
          </w:p>
          <w:p>
            <w:pPr>
              <w:overflowPunct w:val="0"/>
              <w:spacing w:line="300" w:lineRule="auto"/>
              <w:ind w:left="480" w:right="450"/>
              <w:jc w:val="left"/>
              <w:rPr>
                <w:rFonts w:ascii="Times New Roman" w:hAnsi="Times New Roman" w:cs="Times New Roman"/>
                <w:sz w:val="24"/>
                <w:u w:val="single"/>
              </w:rPr>
            </w:pPr>
            <w:r>
              <w:rPr>
                <w:rFonts w:hint="eastAsia" w:ascii="Times New Roman" w:hAnsi="Times New Roman" w:cs="Times New Roman"/>
                <w:sz w:val="24"/>
                <w:u w:val="single"/>
              </w:rPr>
              <w:t>附图6 卫生防护距离包络图</w:t>
            </w:r>
          </w:p>
          <w:p>
            <w:pPr>
              <w:overflowPunct w:val="0"/>
              <w:spacing w:line="300" w:lineRule="auto"/>
              <w:ind w:left="480" w:right="450"/>
              <w:jc w:val="left"/>
              <w:rPr>
                <w:rFonts w:ascii="Times New Roman" w:hAnsi="Times New Roman" w:cs="Times New Roman"/>
                <w:sz w:val="24"/>
              </w:rPr>
            </w:pPr>
          </w:p>
          <w:p>
            <w:pPr>
              <w:pStyle w:val="2"/>
              <w:spacing w:line="300" w:lineRule="auto"/>
              <w:ind w:firstLine="482" w:firstLineChars="200"/>
              <w:rPr>
                <w:sz w:val="24"/>
                <w:szCs w:val="24"/>
              </w:rPr>
            </w:pPr>
            <w:bookmarkStart w:id="88" w:name="_Toc7464066"/>
            <w:r>
              <w:rPr>
                <w:rFonts w:hint="eastAsia"/>
                <w:sz w:val="24"/>
                <w:szCs w:val="24"/>
              </w:rPr>
              <w:t>附表</w:t>
            </w:r>
            <w:r>
              <w:rPr>
                <w:sz w:val="24"/>
                <w:szCs w:val="24"/>
              </w:rPr>
              <w:t>：</w:t>
            </w:r>
            <w:bookmarkEnd w:id="88"/>
          </w:p>
          <w:p>
            <w:pPr>
              <w:overflowPunct w:val="0"/>
              <w:spacing w:line="300" w:lineRule="auto"/>
              <w:ind w:left="480" w:right="450"/>
              <w:jc w:val="left"/>
              <w:rPr>
                <w:rFonts w:ascii="Times New Roman" w:hAnsi="Times New Roman" w:cs="Times New Roman"/>
                <w:sz w:val="24"/>
              </w:rPr>
            </w:pPr>
            <w:r>
              <w:rPr>
                <w:rFonts w:hint="eastAsia" w:ascii="Times New Roman" w:hAnsi="Times New Roman" w:cs="Times New Roman"/>
                <w:sz w:val="24"/>
              </w:rPr>
              <w:t>附表1  建设项目大气环境影响评价自查表</w:t>
            </w:r>
          </w:p>
          <w:p>
            <w:pPr>
              <w:overflowPunct w:val="0"/>
              <w:spacing w:line="300" w:lineRule="auto"/>
              <w:ind w:left="480" w:right="450"/>
              <w:jc w:val="left"/>
              <w:rPr>
                <w:rFonts w:ascii="Times New Roman" w:hAnsi="Times New Roman" w:cs="Times New Roman"/>
                <w:sz w:val="24"/>
              </w:rPr>
            </w:pPr>
            <w:r>
              <w:rPr>
                <w:rFonts w:hint="eastAsia" w:ascii="Times New Roman" w:hAnsi="Times New Roman" w:cs="Times New Roman"/>
                <w:sz w:val="24"/>
              </w:rPr>
              <w:t>附表2  建设项目环境风险评价自查表</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附</w:t>
            </w:r>
            <w:r>
              <w:rPr>
                <w:rFonts w:hint="eastAsia" w:ascii="Times New Roman" w:hAnsi="Times New Roman" w:cs="Times New Roman"/>
                <w:sz w:val="24"/>
              </w:rPr>
              <w:t>表3</w:t>
            </w:r>
            <w:r>
              <w:rPr>
                <w:rFonts w:ascii="Times New Roman" w:hAnsi="Times New Roman" w:cs="Times New Roman"/>
                <w:sz w:val="24"/>
              </w:rPr>
              <w:t xml:space="preserve">  建设项目环评审批基础信息表</w:t>
            </w:r>
          </w:p>
          <w:p>
            <w:pPr>
              <w:rPr>
                <w:rFonts w:ascii="Times New Roman" w:hAnsi="Times New Roman" w:cs="Times New Roman"/>
              </w:rPr>
            </w:pPr>
          </w:p>
          <w:p>
            <w:pPr>
              <w:snapToGrid w:val="0"/>
              <w:spacing w:line="300" w:lineRule="auto"/>
              <w:ind w:firstLine="570"/>
              <w:rPr>
                <w:rFonts w:ascii="Times New Roman" w:hAnsi="Times New Roman" w:cs="Times New Roman"/>
                <w:b/>
                <w:sz w:val="24"/>
              </w:rPr>
            </w:pPr>
            <w:r>
              <w:rPr>
                <w:rFonts w:ascii="Times New Roman" w:hAnsi="Times New Roman" w:cs="Times New Roman"/>
                <w:b/>
                <w:sz w:val="24"/>
              </w:rPr>
              <w:t>二、如果本报告表不能说明项目产生的污染及对环境造成的影响，应进行专项评价。根据建设项目的特点和当地环境特征，应选下列1－2项进行专项评价。</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1、大气环境影响专项评价</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2、水环境影响专项评价（包括地表水和地下水）</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3、生态影响专项评价</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4、声影响专项评价</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5、土壤影响专项评价</w:t>
            </w:r>
          </w:p>
          <w:p>
            <w:pPr>
              <w:overflowPunct w:val="0"/>
              <w:spacing w:line="300" w:lineRule="auto"/>
              <w:ind w:left="480" w:right="450"/>
              <w:jc w:val="left"/>
              <w:rPr>
                <w:rFonts w:ascii="Times New Roman" w:hAnsi="Times New Roman" w:cs="Times New Roman"/>
                <w:sz w:val="24"/>
              </w:rPr>
            </w:pPr>
            <w:r>
              <w:rPr>
                <w:rFonts w:ascii="Times New Roman" w:hAnsi="Times New Roman" w:cs="Times New Roman"/>
                <w:sz w:val="24"/>
              </w:rPr>
              <w:t>6、固体废弃物影响专项评价</w:t>
            </w:r>
          </w:p>
          <w:p>
            <w:pPr>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以上专项评价未包括的可另列专项，专项评价按照环境影响评价技术导则》中的要求进行。</w:t>
            </w:r>
          </w:p>
        </w:tc>
      </w:tr>
    </w:tbl>
    <w:p>
      <w:pPr>
        <w:rPr>
          <w:rFonts w:ascii="Times New Roman" w:hAnsi="Times New Roman" w:cs="Times New Roman"/>
          <w:b/>
          <w:bCs/>
          <w:sz w:val="24"/>
        </w:rPr>
      </w:pPr>
    </w:p>
    <w:sectPr>
      <w:pgSz w:w="11906" w:h="16838"/>
      <w:pgMar w:top="1440" w:right="1179" w:bottom="1440" w:left="1179"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微软雅黑"/>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_GB2312">
    <w:altName w:val="微软雅黑"/>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52</w:t>
                          </w:r>
                          <w:r>
                            <w:rPr>
                              <w:rFonts w:ascii="Times New Roman" w:hAnsi="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Vv4g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Y9mCjs6/fh++vlw+vWNwAeCWutnyNtYZIbunemw6MHv4Yxz&#10;d5VT8YuJCOLAOl7oFV0gPF6aTqbTHCGO2PAD/OzxunU+vBdGkWgU1GF/iVZ2WPvQpw4psZo2q0bK&#10;tEOpSVvQq9dv8n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PFb+IEAIAAAkEAAAOAAAAAAAAAAEAIAAA&#10;AB8BAABkcnMvZTJvRG9jLnhtbFBLBQYAAAAABgAGAFkBAAChBQAAAAA=&#10;">
              <v:fill on="f" focussize="0,0"/>
              <v:stroke on="f" weight="0.5pt"/>
              <v:imagedata o:title=""/>
              <o:lock v:ext="edit" aspectratio="f"/>
              <v:textbox inset="0mm,0mm,0mm,0mm" style="mso-fit-shape-to-text:t;">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52</w:t>
                    </w:r>
                    <w:r>
                      <w:rPr>
                        <w:rFonts w:ascii="Times New Roman" w:hAnsi="Times New Roman" w:cs="Times New Roman"/>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rPr>
      <w:t>邵东县龙新石材厂石材加工和机制砂生产项目环境影响报告表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multilevel"/>
    <w:tmpl w:val="00000029"/>
    <w:lvl w:ilvl="0" w:tentative="0">
      <w:start w:val="1"/>
      <w:numFmt w:val="decimal"/>
      <w:lvlText w:val="%1."/>
      <w:lvlJc w:val="left"/>
      <w:pPr>
        <w:tabs>
          <w:tab w:val="left" w:pos="720"/>
        </w:tabs>
        <w:ind w:left="720" w:hanging="360"/>
      </w:pPr>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83059BE"/>
    <w:multiLevelType w:val="multilevel"/>
    <w:tmpl w:val="083059B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9C43AE"/>
    <w:multiLevelType w:val="multilevel"/>
    <w:tmpl w:val="0A9C43A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0B12FA"/>
    <w:multiLevelType w:val="multilevel"/>
    <w:tmpl w:val="110B12F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A5F5D27"/>
    <w:multiLevelType w:val="multilevel"/>
    <w:tmpl w:val="1A5F5D27"/>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1F4D0C3F"/>
    <w:multiLevelType w:val="multilevel"/>
    <w:tmpl w:val="1F4D0C3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4E0D4B"/>
    <w:multiLevelType w:val="multilevel"/>
    <w:tmpl w:val="2F4E0D4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1943493"/>
    <w:multiLevelType w:val="multilevel"/>
    <w:tmpl w:val="3194349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4A39AF"/>
    <w:multiLevelType w:val="multilevel"/>
    <w:tmpl w:val="3B4A39A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5B4AC3"/>
    <w:multiLevelType w:val="multilevel"/>
    <w:tmpl w:val="3B5B4AC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3B3CF9"/>
    <w:multiLevelType w:val="multilevel"/>
    <w:tmpl w:val="443B3CF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B54241"/>
    <w:multiLevelType w:val="multilevel"/>
    <w:tmpl w:val="4AB5424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8741E86"/>
    <w:multiLevelType w:val="multilevel"/>
    <w:tmpl w:val="58741E86"/>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ED60A2E"/>
    <w:multiLevelType w:val="multilevel"/>
    <w:tmpl w:val="5ED60A2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D856221"/>
    <w:multiLevelType w:val="multilevel"/>
    <w:tmpl w:val="6D85622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5">
    <w:nsid w:val="778218E7"/>
    <w:multiLevelType w:val="multilevel"/>
    <w:tmpl w:val="778218E7"/>
    <w:lvl w:ilvl="0" w:tentative="0">
      <w:start w:val="1"/>
      <w:numFmt w:val="decimal"/>
      <w:lvlText w:val="%1"/>
      <w:lvlJc w:val="left"/>
      <w:pPr>
        <w:ind w:left="432" w:hanging="432"/>
      </w:pPr>
    </w:lvl>
    <w:lvl w:ilvl="1" w:tentative="0">
      <w:start w:val="1"/>
      <w:numFmt w:val="decimal"/>
      <w:pStyle w:val="3"/>
      <w:lvlText w:val="%1.%2"/>
      <w:lvlJc w:val="left"/>
      <w:pPr>
        <w:ind w:left="860" w:hanging="576"/>
      </w:pPr>
    </w:lvl>
    <w:lvl w:ilvl="2" w:tentative="0">
      <w:start w:val="1"/>
      <w:numFmt w:val="decimal"/>
      <w:pStyle w:val="6"/>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6">
    <w:nsid w:val="77891112"/>
    <w:multiLevelType w:val="multilevel"/>
    <w:tmpl w:val="7789111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9B733A8"/>
    <w:multiLevelType w:val="multilevel"/>
    <w:tmpl w:val="79B733A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0"/>
  </w:num>
  <w:num w:numId="3">
    <w:abstractNumId w:val="14"/>
  </w:num>
  <w:num w:numId="4">
    <w:abstractNumId w:val="17"/>
  </w:num>
  <w:num w:numId="5">
    <w:abstractNumId w:val="16"/>
  </w:num>
  <w:num w:numId="6">
    <w:abstractNumId w:val="10"/>
  </w:num>
  <w:num w:numId="7">
    <w:abstractNumId w:val="11"/>
  </w:num>
  <w:num w:numId="8">
    <w:abstractNumId w:val="8"/>
  </w:num>
  <w:num w:numId="9">
    <w:abstractNumId w:val="7"/>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
  </w:num>
  <w:num w:numId="14">
    <w:abstractNumId w:val="2"/>
  </w:num>
  <w:num w:numId="15">
    <w:abstractNumId w:val="1"/>
  </w:num>
  <w:num w:numId="16">
    <w:abstractNumId w:val="12"/>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5F"/>
    <w:rsid w:val="00000C13"/>
    <w:rsid w:val="00000EB1"/>
    <w:rsid w:val="00002A47"/>
    <w:rsid w:val="00004ACD"/>
    <w:rsid w:val="0000539E"/>
    <w:rsid w:val="0000591E"/>
    <w:rsid w:val="000065E3"/>
    <w:rsid w:val="000067CE"/>
    <w:rsid w:val="00006B8B"/>
    <w:rsid w:val="00006DC7"/>
    <w:rsid w:val="00007004"/>
    <w:rsid w:val="00007B8C"/>
    <w:rsid w:val="00010D5A"/>
    <w:rsid w:val="000115D4"/>
    <w:rsid w:val="00011648"/>
    <w:rsid w:val="00012AEC"/>
    <w:rsid w:val="00012B3F"/>
    <w:rsid w:val="00012C80"/>
    <w:rsid w:val="00012EB9"/>
    <w:rsid w:val="00013D43"/>
    <w:rsid w:val="00013E85"/>
    <w:rsid w:val="00013FD5"/>
    <w:rsid w:val="0001491E"/>
    <w:rsid w:val="00015762"/>
    <w:rsid w:val="000165BD"/>
    <w:rsid w:val="00016B1E"/>
    <w:rsid w:val="00016B35"/>
    <w:rsid w:val="000174A9"/>
    <w:rsid w:val="000176BA"/>
    <w:rsid w:val="00020582"/>
    <w:rsid w:val="0002201D"/>
    <w:rsid w:val="0002286F"/>
    <w:rsid w:val="00022908"/>
    <w:rsid w:val="00023532"/>
    <w:rsid w:val="00023700"/>
    <w:rsid w:val="00023B3A"/>
    <w:rsid w:val="00025940"/>
    <w:rsid w:val="00026656"/>
    <w:rsid w:val="00026677"/>
    <w:rsid w:val="00026A5F"/>
    <w:rsid w:val="000276AA"/>
    <w:rsid w:val="00030028"/>
    <w:rsid w:val="00030220"/>
    <w:rsid w:val="00030933"/>
    <w:rsid w:val="00031B9D"/>
    <w:rsid w:val="000320AD"/>
    <w:rsid w:val="00032934"/>
    <w:rsid w:val="00033ECE"/>
    <w:rsid w:val="00034268"/>
    <w:rsid w:val="00035005"/>
    <w:rsid w:val="00035557"/>
    <w:rsid w:val="00036BCD"/>
    <w:rsid w:val="000403EF"/>
    <w:rsid w:val="00041068"/>
    <w:rsid w:val="00041826"/>
    <w:rsid w:val="00041E4B"/>
    <w:rsid w:val="000425BF"/>
    <w:rsid w:val="00042B83"/>
    <w:rsid w:val="00043094"/>
    <w:rsid w:val="000433BA"/>
    <w:rsid w:val="00045749"/>
    <w:rsid w:val="000458D8"/>
    <w:rsid w:val="00045C3B"/>
    <w:rsid w:val="00045E5A"/>
    <w:rsid w:val="00045E8F"/>
    <w:rsid w:val="00045FD7"/>
    <w:rsid w:val="00046153"/>
    <w:rsid w:val="0004648A"/>
    <w:rsid w:val="0004670A"/>
    <w:rsid w:val="000467CA"/>
    <w:rsid w:val="000472ED"/>
    <w:rsid w:val="000474E2"/>
    <w:rsid w:val="00047730"/>
    <w:rsid w:val="000478AA"/>
    <w:rsid w:val="0005037E"/>
    <w:rsid w:val="00050B4A"/>
    <w:rsid w:val="00050C0F"/>
    <w:rsid w:val="00052429"/>
    <w:rsid w:val="000528EB"/>
    <w:rsid w:val="00052AA1"/>
    <w:rsid w:val="00053AC0"/>
    <w:rsid w:val="000543E2"/>
    <w:rsid w:val="000547B9"/>
    <w:rsid w:val="00054DFF"/>
    <w:rsid w:val="000551EF"/>
    <w:rsid w:val="0005560F"/>
    <w:rsid w:val="000558A8"/>
    <w:rsid w:val="00055B83"/>
    <w:rsid w:val="00055BAE"/>
    <w:rsid w:val="0005614C"/>
    <w:rsid w:val="0005625B"/>
    <w:rsid w:val="0005626B"/>
    <w:rsid w:val="000569E0"/>
    <w:rsid w:val="00057267"/>
    <w:rsid w:val="00057B52"/>
    <w:rsid w:val="00057F33"/>
    <w:rsid w:val="0006039D"/>
    <w:rsid w:val="00060A47"/>
    <w:rsid w:val="00060EAC"/>
    <w:rsid w:val="000616BF"/>
    <w:rsid w:val="00062563"/>
    <w:rsid w:val="000629DB"/>
    <w:rsid w:val="00062FE9"/>
    <w:rsid w:val="00063547"/>
    <w:rsid w:val="0006416B"/>
    <w:rsid w:val="0006449D"/>
    <w:rsid w:val="000648C1"/>
    <w:rsid w:val="00064F13"/>
    <w:rsid w:val="00064F43"/>
    <w:rsid w:val="00065120"/>
    <w:rsid w:val="00065A9D"/>
    <w:rsid w:val="000660DC"/>
    <w:rsid w:val="00066935"/>
    <w:rsid w:val="00066BAA"/>
    <w:rsid w:val="00066DFF"/>
    <w:rsid w:val="000671DC"/>
    <w:rsid w:val="0006746D"/>
    <w:rsid w:val="00070511"/>
    <w:rsid w:val="000709F3"/>
    <w:rsid w:val="0007211B"/>
    <w:rsid w:val="000721CA"/>
    <w:rsid w:val="00072299"/>
    <w:rsid w:val="00072A41"/>
    <w:rsid w:val="00072D3F"/>
    <w:rsid w:val="000735BC"/>
    <w:rsid w:val="000735C3"/>
    <w:rsid w:val="00073D85"/>
    <w:rsid w:val="0007433B"/>
    <w:rsid w:val="00074444"/>
    <w:rsid w:val="0007496E"/>
    <w:rsid w:val="00074A18"/>
    <w:rsid w:val="00075760"/>
    <w:rsid w:val="00075E69"/>
    <w:rsid w:val="0007613A"/>
    <w:rsid w:val="00076176"/>
    <w:rsid w:val="00076C33"/>
    <w:rsid w:val="00077DD6"/>
    <w:rsid w:val="00080281"/>
    <w:rsid w:val="00080A64"/>
    <w:rsid w:val="00080AB8"/>
    <w:rsid w:val="00081333"/>
    <w:rsid w:val="0008176A"/>
    <w:rsid w:val="000817CB"/>
    <w:rsid w:val="0008255A"/>
    <w:rsid w:val="00082BC5"/>
    <w:rsid w:val="00083670"/>
    <w:rsid w:val="00083A4B"/>
    <w:rsid w:val="00083E6C"/>
    <w:rsid w:val="000842EB"/>
    <w:rsid w:val="00084934"/>
    <w:rsid w:val="00084AC1"/>
    <w:rsid w:val="00084C89"/>
    <w:rsid w:val="00084F72"/>
    <w:rsid w:val="00085266"/>
    <w:rsid w:val="00085AAD"/>
    <w:rsid w:val="00085F1D"/>
    <w:rsid w:val="00085F9A"/>
    <w:rsid w:val="000869C5"/>
    <w:rsid w:val="00087C50"/>
    <w:rsid w:val="00087E76"/>
    <w:rsid w:val="000902AF"/>
    <w:rsid w:val="00090F43"/>
    <w:rsid w:val="00091607"/>
    <w:rsid w:val="000918F5"/>
    <w:rsid w:val="00091E60"/>
    <w:rsid w:val="00091EB8"/>
    <w:rsid w:val="0009225E"/>
    <w:rsid w:val="000922F9"/>
    <w:rsid w:val="00092A10"/>
    <w:rsid w:val="00092E08"/>
    <w:rsid w:val="000933C5"/>
    <w:rsid w:val="00093A4B"/>
    <w:rsid w:val="00093E7F"/>
    <w:rsid w:val="000941DE"/>
    <w:rsid w:val="00094960"/>
    <w:rsid w:val="00095AD3"/>
    <w:rsid w:val="000967F9"/>
    <w:rsid w:val="00096819"/>
    <w:rsid w:val="0009743D"/>
    <w:rsid w:val="00097B25"/>
    <w:rsid w:val="00097B34"/>
    <w:rsid w:val="000A0DC4"/>
    <w:rsid w:val="000A12AB"/>
    <w:rsid w:val="000A12BC"/>
    <w:rsid w:val="000A1641"/>
    <w:rsid w:val="000A20F1"/>
    <w:rsid w:val="000A2366"/>
    <w:rsid w:val="000A2757"/>
    <w:rsid w:val="000A4045"/>
    <w:rsid w:val="000A43D1"/>
    <w:rsid w:val="000A4449"/>
    <w:rsid w:val="000A4AF8"/>
    <w:rsid w:val="000A573E"/>
    <w:rsid w:val="000A5EC1"/>
    <w:rsid w:val="000A67B4"/>
    <w:rsid w:val="000A69F3"/>
    <w:rsid w:val="000A7284"/>
    <w:rsid w:val="000A73C1"/>
    <w:rsid w:val="000A7A2C"/>
    <w:rsid w:val="000A7B20"/>
    <w:rsid w:val="000A7E07"/>
    <w:rsid w:val="000A7EF9"/>
    <w:rsid w:val="000B0840"/>
    <w:rsid w:val="000B0D22"/>
    <w:rsid w:val="000B1114"/>
    <w:rsid w:val="000B1382"/>
    <w:rsid w:val="000B2AA5"/>
    <w:rsid w:val="000B3132"/>
    <w:rsid w:val="000B4FCA"/>
    <w:rsid w:val="000B540D"/>
    <w:rsid w:val="000B576C"/>
    <w:rsid w:val="000B5BB1"/>
    <w:rsid w:val="000B63F5"/>
    <w:rsid w:val="000B6DAD"/>
    <w:rsid w:val="000C01D7"/>
    <w:rsid w:val="000C0456"/>
    <w:rsid w:val="000C1C9F"/>
    <w:rsid w:val="000C24C4"/>
    <w:rsid w:val="000C40C0"/>
    <w:rsid w:val="000C42A0"/>
    <w:rsid w:val="000C4632"/>
    <w:rsid w:val="000C47F7"/>
    <w:rsid w:val="000C5348"/>
    <w:rsid w:val="000C59E5"/>
    <w:rsid w:val="000C5B7D"/>
    <w:rsid w:val="000C6548"/>
    <w:rsid w:val="000C6EC3"/>
    <w:rsid w:val="000C75E5"/>
    <w:rsid w:val="000D06C9"/>
    <w:rsid w:val="000D116A"/>
    <w:rsid w:val="000D1313"/>
    <w:rsid w:val="000D1C19"/>
    <w:rsid w:val="000D2084"/>
    <w:rsid w:val="000D2537"/>
    <w:rsid w:val="000D32C8"/>
    <w:rsid w:val="000D3CB8"/>
    <w:rsid w:val="000D3D3E"/>
    <w:rsid w:val="000D449F"/>
    <w:rsid w:val="000D501C"/>
    <w:rsid w:val="000D54FF"/>
    <w:rsid w:val="000D6000"/>
    <w:rsid w:val="000D653A"/>
    <w:rsid w:val="000D661F"/>
    <w:rsid w:val="000D667E"/>
    <w:rsid w:val="000D71D8"/>
    <w:rsid w:val="000E0076"/>
    <w:rsid w:val="000E056C"/>
    <w:rsid w:val="000E070D"/>
    <w:rsid w:val="000E0865"/>
    <w:rsid w:val="000E0DEC"/>
    <w:rsid w:val="000E19F5"/>
    <w:rsid w:val="000E218E"/>
    <w:rsid w:val="000E334A"/>
    <w:rsid w:val="000E38F6"/>
    <w:rsid w:val="000E3B4A"/>
    <w:rsid w:val="000E5222"/>
    <w:rsid w:val="000E53BE"/>
    <w:rsid w:val="000E5B90"/>
    <w:rsid w:val="000E690C"/>
    <w:rsid w:val="000E69E9"/>
    <w:rsid w:val="000E6C84"/>
    <w:rsid w:val="000E6FEE"/>
    <w:rsid w:val="000E70CF"/>
    <w:rsid w:val="000E7178"/>
    <w:rsid w:val="000E7403"/>
    <w:rsid w:val="000E7892"/>
    <w:rsid w:val="000E7FE1"/>
    <w:rsid w:val="000F096E"/>
    <w:rsid w:val="000F1FC7"/>
    <w:rsid w:val="000F23D0"/>
    <w:rsid w:val="000F2865"/>
    <w:rsid w:val="000F321C"/>
    <w:rsid w:val="000F36B6"/>
    <w:rsid w:val="000F3806"/>
    <w:rsid w:val="000F3EAD"/>
    <w:rsid w:val="000F4610"/>
    <w:rsid w:val="000F4BA7"/>
    <w:rsid w:val="000F5125"/>
    <w:rsid w:val="000F5384"/>
    <w:rsid w:val="000F5BCC"/>
    <w:rsid w:val="000F5C61"/>
    <w:rsid w:val="000F5F62"/>
    <w:rsid w:val="000F6ABC"/>
    <w:rsid w:val="000F71D7"/>
    <w:rsid w:val="000F7413"/>
    <w:rsid w:val="000F757D"/>
    <w:rsid w:val="000F7800"/>
    <w:rsid w:val="000F79B9"/>
    <w:rsid w:val="0010097A"/>
    <w:rsid w:val="00101501"/>
    <w:rsid w:val="0010185C"/>
    <w:rsid w:val="00101A73"/>
    <w:rsid w:val="00101FA4"/>
    <w:rsid w:val="001022FF"/>
    <w:rsid w:val="001025C4"/>
    <w:rsid w:val="00102EDE"/>
    <w:rsid w:val="001038AA"/>
    <w:rsid w:val="00103DAB"/>
    <w:rsid w:val="001052A4"/>
    <w:rsid w:val="0010541D"/>
    <w:rsid w:val="00105E10"/>
    <w:rsid w:val="001067D6"/>
    <w:rsid w:val="001067E0"/>
    <w:rsid w:val="00106C5C"/>
    <w:rsid w:val="00110B82"/>
    <w:rsid w:val="00111094"/>
    <w:rsid w:val="001110F3"/>
    <w:rsid w:val="00111387"/>
    <w:rsid w:val="00111C93"/>
    <w:rsid w:val="00112796"/>
    <w:rsid w:val="00112EF0"/>
    <w:rsid w:val="001131C4"/>
    <w:rsid w:val="00114801"/>
    <w:rsid w:val="00115E2B"/>
    <w:rsid w:val="00115FA6"/>
    <w:rsid w:val="0011615C"/>
    <w:rsid w:val="00116E54"/>
    <w:rsid w:val="00117F2A"/>
    <w:rsid w:val="00120B4F"/>
    <w:rsid w:val="00120C11"/>
    <w:rsid w:val="001222A8"/>
    <w:rsid w:val="001224F1"/>
    <w:rsid w:val="0012339A"/>
    <w:rsid w:val="00123D0B"/>
    <w:rsid w:val="001241B9"/>
    <w:rsid w:val="00124314"/>
    <w:rsid w:val="001244E7"/>
    <w:rsid w:val="00124613"/>
    <w:rsid w:val="00124CE5"/>
    <w:rsid w:val="0012574F"/>
    <w:rsid w:val="00125C21"/>
    <w:rsid w:val="00126865"/>
    <w:rsid w:val="00126FAF"/>
    <w:rsid w:val="001278AB"/>
    <w:rsid w:val="00130921"/>
    <w:rsid w:val="00130C3F"/>
    <w:rsid w:val="0013135D"/>
    <w:rsid w:val="001320B5"/>
    <w:rsid w:val="0013369A"/>
    <w:rsid w:val="001344FD"/>
    <w:rsid w:val="00134BCC"/>
    <w:rsid w:val="00134CC5"/>
    <w:rsid w:val="00135035"/>
    <w:rsid w:val="00135306"/>
    <w:rsid w:val="00135927"/>
    <w:rsid w:val="00136814"/>
    <w:rsid w:val="00136C2F"/>
    <w:rsid w:val="00136C6A"/>
    <w:rsid w:val="00136CBB"/>
    <w:rsid w:val="00136CCF"/>
    <w:rsid w:val="00137F2D"/>
    <w:rsid w:val="00140940"/>
    <w:rsid w:val="00140AFF"/>
    <w:rsid w:val="00140DE6"/>
    <w:rsid w:val="00140F38"/>
    <w:rsid w:val="001412DD"/>
    <w:rsid w:val="0014167A"/>
    <w:rsid w:val="00141988"/>
    <w:rsid w:val="0014216D"/>
    <w:rsid w:val="001423D4"/>
    <w:rsid w:val="001434AC"/>
    <w:rsid w:val="00143807"/>
    <w:rsid w:val="00143A9A"/>
    <w:rsid w:val="00144C8E"/>
    <w:rsid w:val="00145BBE"/>
    <w:rsid w:val="00145E7B"/>
    <w:rsid w:val="001462C5"/>
    <w:rsid w:val="00147E4C"/>
    <w:rsid w:val="00150460"/>
    <w:rsid w:val="00150655"/>
    <w:rsid w:val="00150B04"/>
    <w:rsid w:val="00150E3A"/>
    <w:rsid w:val="00151B5B"/>
    <w:rsid w:val="00151D98"/>
    <w:rsid w:val="00152176"/>
    <w:rsid w:val="001527E5"/>
    <w:rsid w:val="00152F23"/>
    <w:rsid w:val="00152FB3"/>
    <w:rsid w:val="0015321C"/>
    <w:rsid w:val="00153398"/>
    <w:rsid w:val="0015360C"/>
    <w:rsid w:val="00154AF7"/>
    <w:rsid w:val="001553DE"/>
    <w:rsid w:val="0015558D"/>
    <w:rsid w:val="00155D70"/>
    <w:rsid w:val="001561BE"/>
    <w:rsid w:val="001564B7"/>
    <w:rsid w:val="00156EC9"/>
    <w:rsid w:val="00157203"/>
    <w:rsid w:val="001576A2"/>
    <w:rsid w:val="00157A4D"/>
    <w:rsid w:val="0016021D"/>
    <w:rsid w:val="0016039E"/>
    <w:rsid w:val="0016159B"/>
    <w:rsid w:val="0016184E"/>
    <w:rsid w:val="0016266A"/>
    <w:rsid w:val="00162727"/>
    <w:rsid w:val="0016280B"/>
    <w:rsid w:val="00163D52"/>
    <w:rsid w:val="00164303"/>
    <w:rsid w:val="001644F0"/>
    <w:rsid w:val="00164661"/>
    <w:rsid w:val="001653CF"/>
    <w:rsid w:val="001656A4"/>
    <w:rsid w:val="0016659D"/>
    <w:rsid w:val="0016674A"/>
    <w:rsid w:val="00166D3E"/>
    <w:rsid w:val="00166E3D"/>
    <w:rsid w:val="00167B21"/>
    <w:rsid w:val="00167C08"/>
    <w:rsid w:val="00170439"/>
    <w:rsid w:val="00170B60"/>
    <w:rsid w:val="00170C67"/>
    <w:rsid w:val="001711C6"/>
    <w:rsid w:val="00172369"/>
    <w:rsid w:val="00172A27"/>
    <w:rsid w:val="0017307D"/>
    <w:rsid w:val="00174421"/>
    <w:rsid w:val="00174701"/>
    <w:rsid w:val="001749C5"/>
    <w:rsid w:val="00175C5B"/>
    <w:rsid w:val="00176174"/>
    <w:rsid w:val="0017660C"/>
    <w:rsid w:val="00177569"/>
    <w:rsid w:val="0018105C"/>
    <w:rsid w:val="001817AC"/>
    <w:rsid w:val="001828A7"/>
    <w:rsid w:val="001828C8"/>
    <w:rsid w:val="00182922"/>
    <w:rsid w:val="001840E3"/>
    <w:rsid w:val="00184391"/>
    <w:rsid w:val="001846CB"/>
    <w:rsid w:val="00184889"/>
    <w:rsid w:val="00184967"/>
    <w:rsid w:val="001850B0"/>
    <w:rsid w:val="0018635E"/>
    <w:rsid w:val="00186CD5"/>
    <w:rsid w:val="00187801"/>
    <w:rsid w:val="00187BE9"/>
    <w:rsid w:val="001905F5"/>
    <w:rsid w:val="00191985"/>
    <w:rsid w:val="00191B3A"/>
    <w:rsid w:val="0019296E"/>
    <w:rsid w:val="0019358D"/>
    <w:rsid w:val="00193DDF"/>
    <w:rsid w:val="001941B8"/>
    <w:rsid w:val="0019435D"/>
    <w:rsid w:val="001948B9"/>
    <w:rsid w:val="001953F4"/>
    <w:rsid w:val="00195629"/>
    <w:rsid w:val="0019719E"/>
    <w:rsid w:val="0019721F"/>
    <w:rsid w:val="00197A16"/>
    <w:rsid w:val="00197D5D"/>
    <w:rsid w:val="00197FDA"/>
    <w:rsid w:val="001A00DA"/>
    <w:rsid w:val="001A0BA2"/>
    <w:rsid w:val="001A123D"/>
    <w:rsid w:val="001A13D6"/>
    <w:rsid w:val="001A2013"/>
    <w:rsid w:val="001A269E"/>
    <w:rsid w:val="001A2ED4"/>
    <w:rsid w:val="001A3F69"/>
    <w:rsid w:val="001A4B22"/>
    <w:rsid w:val="001A4DA7"/>
    <w:rsid w:val="001A522C"/>
    <w:rsid w:val="001A5286"/>
    <w:rsid w:val="001A560C"/>
    <w:rsid w:val="001A5CC4"/>
    <w:rsid w:val="001A622A"/>
    <w:rsid w:val="001A6967"/>
    <w:rsid w:val="001A6C90"/>
    <w:rsid w:val="001A7D9E"/>
    <w:rsid w:val="001B08CA"/>
    <w:rsid w:val="001B0CA1"/>
    <w:rsid w:val="001B0CFE"/>
    <w:rsid w:val="001B170B"/>
    <w:rsid w:val="001B39AB"/>
    <w:rsid w:val="001B3BF5"/>
    <w:rsid w:val="001B3C2D"/>
    <w:rsid w:val="001B3F3D"/>
    <w:rsid w:val="001B440E"/>
    <w:rsid w:val="001B4F69"/>
    <w:rsid w:val="001B5DB4"/>
    <w:rsid w:val="001B5DEF"/>
    <w:rsid w:val="001B621D"/>
    <w:rsid w:val="001B69D0"/>
    <w:rsid w:val="001B7551"/>
    <w:rsid w:val="001B75AD"/>
    <w:rsid w:val="001C18A4"/>
    <w:rsid w:val="001C3780"/>
    <w:rsid w:val="001C38BC"/>
    <w:rsid w:val="001C3D6A"/>
    <w:rsid w:val="001C4751"/>
    <w:rsid w:val="001C5CB3"/>
    <w:rsid w:val="001D018A"/>
    <w:rsid w:val="001D0A5F"/>
    <w:rsid w:val="001D0F9D"/>
    <w:rsid w:val="001D12F1"/>
    <w:rsid w:val="001D176D"/>
    <w:rsid w:val="001D1C93"/>
    <w:rsid w:val="001D20DF"/>
    <w:rsid w:val="001D33D3"/>
    <w:rsid w:val="001D3B14"/>
    <w:rsid w:val="001D3D99"/>
    <w:rsid w:val="001D4B39"/>
    <w:rsid w:val="001D5098"/>
    <w:rsid w:val="001D51F5"/>
    <w:rsid w:val="001D574D"/>
    <w:rsid w:val="001D5BEF"/>
    <w:rsid w:val="001D6359"/>
    <w:rsid w:val="001D67FE"/>
    <w:rsid w:val="001D6FD7"/>
    <w:rsid w:val="001D723D"/>
    <w:rsid w:val="001D78B0"/>
    <w:rsid w:val="001E0DFA"/>
    <w:rsid w:val="001E10A8"/>
    <w:rsid w:val="001E1159"/>
    <w:rsid w:val="001E1CAE"/>
    <w:rsid w:val="001E1E5D"/>
    <w:rsid w:val="001E29DF"/>
    <w:rsid w:val="001E2C64"/>
    <w:rsid w:val="001E306C"/>
    <w:rsid w:val="001E3A15"/>
    <w:rsid w:val="001E47A6"/>
    <w:rsid w:val="001E4868"/>
    <w:rsid w:val="001E4D0F"/>
    <w:rsid w:val="001E4E95"/>
    <w:rsid w:val="001E549C"/>
    <w:rsid w:val="001E625B"/>
    <w:rsid w:val="001E6BB7"/>
    <w:rsid w:val="001E6CF2"/>
    <w:rsid w:val="001E6DF2"/>
    <w:rsid w:val="001E6E2C"/>
    <w:rsid w:val="001E761E"/>
    <w:rsid w:val="001E78CC"/>
    <w:rsid w:val="001F010E"/>
    <w:rsid w:val="001F05F4"/>
    <w:rsid w:val="001F061F"/>
    <w:rsid w:val="001F076B"/>
    <w:rsid w:val="001F0A74"/>
    <w:rsid w:val="001F167C"/>
    <w:rsid w:val="001F29C7"/>
    <w:rsid w:val="001F2A98"/>
    <w:rsid w:val="001F2CCA"/>
    <w:rsid w:val="001F351E"/>
    <w:rsid w:val="001F3CB7"/>
    <w:rsid w:val="001F3D66"/>
    <w:rsid w:val="001F53CA"/>
    <w:rsid w:val="001F5879"/>
    <w:rsid w:val="001F614D"/>
    <w:rsid w:val="002010EB"/>
    <w:rsid w:val="00201F0E"/>
    <w:rsid w:val="00202CB5"/>
    <w:rsid w:val="00202CDD"/>
    <w:rsid w:val="00203111"/>
    <w:rsid w:val="00203341"/>
    <w:rsid w:val="002052F6"/>
    <w:rsid w:val="002058AF"/>
    <w:rsid w:val="00205A7B"/>
    <w:rsid w:val="00205D7D"/>
    <w:rsid w:val="00206DAD"/>
    <w:rsid w:val="002113D9"/>
    <w:rsid w:val="002119E7"/>
    <w:rsid w:val="00211E84"/>
    <w:rsid w:val="002120E9"/>
    <w:rsid w:val="00212454"/>
    <w:rsid w:val="00212D46"/>
    <w:rsid w:val="00212DA9"/>
    <w:rsid w:val="00213C1B"/>
    <w:rsid w:val="002142FC"/>
    <w:rsid w:val="00214839"/>
    <w:rsid w:val="002156F3"/>
    <w:rsid w:val="00215921"/>
    <w:rsid w:val="0021599D"/>
    <w:rsid w:val="00215AAA"/>
    <w:rsid w:val="00216078"/>
    <w:rsid w:val="002171A7"/>
    <w:rsid w:val="00220219"/>
    <w:rsid w:val="002207A3"/>
    <w:rsid w:val="00221627"/>
    <w:rsid w:val="00221DAC"/>
    <w:rsid w:val="00222077"/>
    <w:rsid w:val="00222352"/>
    <w:rsid w:val="002225A5"/>
    <w:rsid w:val="0022260E"/>
    <w:rsid w:val="00222ACA"/>
    <w:rsid w:val="002234E9"/>
    <w:rsid w:val="00223A58"/>
    <w:rsid w:val="002243E7"/>
    <w:rsid w:val="002245CF"/>
    <w:rsid w:val="002245DA"/>
    <w:rsid w:val="00224ADF"/>
    <w:rsid w:val="00224BC2"/>
    <w:rsid w:val="00224D7C"/>
    <w:rsid w:val="0022530A"/>
    <w:rsid w:val="0022563A"/>
    <w:rsid w:val="00226C3F"/>
    <w:rsid w:val="00226E3D"/>
    <w:rsid w:val="002271B2"/>
    <w:rsid w:val="00230536"/>
    <w:rsid w:val="002308DE"/>
    <w:rsid w:val="002311F3"/>
    <w:rsid w:val="00231FC2"/>
    <w:rsid w:val="00232C72"/>
    <w:rsid w:val="00232D2A"/>
    <w:rsid w:val="00232F79"/>
    <w:rsid w:val="00234F96"/>
    <w:rsid w:val="002379B9"/>
    <w:rsid w:val="002379C9"/>
    <w:rsid w:val="002411BA"/>
    <w:rsid w:val="002423DB"/>
    <w:rsid w:val="00242805"/>
    <w:rsid w:val="0024357D"/>
    <w:rsid w:val="00243592"/>
    <w:rsid w:val="002435D7"/>
    <w:rsid w:val="00243620"/>
    <w:rsid w:val="00243F08"/>
    <w:rsid w:val="00244426"/>
    <w:rsid w:val="00244941"/>
    <w:rsid w:val="00244960"/>
    <w:rsid w:val="0024506B"/>
    <w:rsid w:val="002463B4"/>
    <w:rsid w:val="00246F3D"/>
    <w:rsid w:val="0024700E"/>
    <w:rsid w:val="00247644"/>
    <w:rsid w:val="0025051F"/>
    <w:rsid w:val="0025091B"/>
    <w:rsid w:val="00251650"/>
    <w:rsid w:val="00251D5E"/>
    <w:rsid w:val="00251E25"/>
    <w:rsid w:val="00251E42"/>
    <w:rsid w:val="002529C9"/>
    <w:rsid w:val="00252E0E"/>
    <w:rsid w:val="002544F5"/>
    <w:rsid w:val="00255138"/>
    <w:rsid w:val="00255DDF"/>
    <w:rsid w:val="00256678"/>
    <w:rsid w:val="00256AB6"/>
    <w:rsid w:val="00256D02"/>
    <w:rsid w:val="00257053"/>
    <w:rsid w:val="002574E0"/>
    <w:rsid w:val="002576EF"/>
    <w:rsid w:val="00257904"/>
    <w:rsid w:val="00257A44"/>
    <w:rsid w:val="00257AB5"/>
    <w:rsid w:val="00260016"/>
    <w:rsid w:val="00260708"/>
    <w:rsid w:val="0026076F"/>
    <w:rsid w:val="00260B2B"/>
    <w:rsid w:val="00261012"/>
    <w:rsid w:val="002615EB"/>
    <w:rsid w:val="00261EB4"/>
    <w:rsid w:val="00261EF6"/>
    <w:rsid w:val="0026225B"/>
    <w:rsid w:val="00262AE2"/>
    <w:rsid w:val="00262E43"/>
    <w:rsid w:val="00263915"/>
    <w:rsid w:val="00263BE5"/>
    <w:rsid w:val="0026424E"/>
    <w:rsid w:val="002646F9"/>
    <w:rsid w:val="00265A4A"/>
    <w:rsid w:val="00265F14"/>
    <w:rsid w:val="00265F22"/>
    <w:rsid w:val="0026607B"/>
    <w:rsid w:val="00266447"/>
    <w:rsid w:val="00266610"/>
    <w:rsid w:val="0026671B"/>
    <w:rsid w:val="00266E5A"/>
    <w:rsid w:val="00267F9B"/>
    <w:rsid w:val="00267FA0"/>
    <w:rsid w:val="0027069D"/>
    <w:rsid w:val="00270945"/>
    <w:rsid w:val="002740A7"/>
    <w:rsid w:val="00274143"/>
    <w:rsid w:val="002742CC"/>
    <w:rsid w:val="00274523"/>
    <w:rsid w:val="00274927"/>
    <w:rsid w:val="002750A2"/>
    <w:rsid w:val="002760FC"/>
    <w:rsid w:val="002761CC"/>
    <w:rsid w:val="0027689D"/>
    <w:rsid w:val="002768CD"/>
    <w:rsid w:val="00276D98"/>
    <w:rsid w:val="002775BA"/>
    <w:rsid w:val="00277829"/>
    <w:rsid w:val="002800A2"/>
    <w:rsid w:val="00280656"/>
    <w:rsid w:val="0028082F"/>
    <w:rsid w:val="00280AE1"/>
    <w:rsid w:val="00280FFA"/>
    <w:rsid w:val="002813A3"/>
    <w:rsid w:val="00281ACC"/>
    <w:rsid w:val="00282024"/>
    <w:rsid w:val="00282248"/>
    <w:rsid w:val="00282311"/>
    <w:rsid w:val="002826C6"/>
    <w:rsid w:val="002827CB"/>
    <w:rsid w:val="00282B45"/>
    <w:rsid w:val="00282E5A"/>
    <w:rsid w:val="002837FE"/>
    <w:rsid w:val="00283875"/>
    <w:rsid w:val="00284974"/>
    <w:rsid w:val="00285C41"/>
    <w:rsid w:val="00285C8F"/>
    <w:rsid w:val="00285EAD"/>
    <w:rsid w:val="00285EF3"/>
    <w:rsid w:val="002865F4"/>
    <w:rsid w:val="00287298"/>
    <w:rsid w:val="0028779F"/>
    <w:rsid w:val="00287E23"/>
    <w:rsid w:val="0029029D"/>
    <w:rsid w:val="002905AB"/>
    <w:rsid w:val="00290AD9"/>
    <w:rsid w:val="00290C61"/>
    <w:rsid w:val="002913B6"/>
    <w:rsid w:val="00292950"/>
    <w:rsid w:val="0029381F"/>
    <w:rsid w:val="00294641"/>
    <w:rsid w:val="00295445"/>
    <w:rsid w:val="0029549C"/>
    <w:rsid w:val="002958A7"/>
    <w:rsid w:val="00295EC6"/>
    <w:rsid w:val="00296102"/>
    <w:rsid w:val="002963FA"/>
    <w:rsid w:val="00296607"/>
    <w:rsid w:val="0029669E"/>
    <w:rsid w:val="002971DE"/>
    <w:rsid w:val="00297903"/>
    <w:rsid w:val="00297C6B"/>
    <w:rsid w:val="00297DCF"/>
    <w:rsid w:val="00297FE2"/>
    <w:rsid w:val="002A02D4"/>
    <w:rsid w:val="002A0579"/>
    <w:rsid w:val="002A0B6E"/>
    <w:rsid w:val="002A0BE4"/>
    <w:rsid w:val="002A102B"/>
    <w:rsid w:val="002A13A3"/>
    <w:rsid w:val="002A1E18"/>
    <w:rsid w:val="002A2ACA"/>
    <w:rsid w:val="002A2CBF"/>
    <w:rsid w:val="002A30F1"/>
    <w:rsid w:val="002A37B5"/>
    <w:rsid w:val="002A3CC3"/>
    <w:rsid w:val="002A417D"/>
    <w:rsid w:val="002A6445"/>
    <w:rsid w:val="002A6569"/>
    <w:rsid w:val="002A66A0"/>
    <w:rsid w:val="002A6700"/>
    <w:rsid w:val="002A68AD"/>
    <w:rsid w:val="002B02D4"/>
    <w:rsid w:val="002B0EED"/>
    <w:rsid w:val="002B1225"/>
    <w:rsid w:val="002B1D5B"/>
    <w:rsid w:val="002B1F68"/>
    <w:rsid w:val="002B2286"/>
    <w:rsid w:val="002B2D5C"/>
    <w:rsid w:val="002B36B7"/>
    <w:rsid w:val="002B3D23"/>
    <w:rsid w:val="002B4105"/>
    <w:rsid w:val="002B4694"/>
    <w:rsid w:val="002B47DA"/>
    <w:rsid w:val="002B5A9F"/>
    <w:rsid w:val="002B6363"/>
    <w:rsid w:val="002B6793"/>
    <w:rsid w:val="002C027C"/>
    <w:rsid w:val="002C040A"/>
    <w:rsid w:val="002C149E"/>
    <w:rsid w:val="002C19FB"/>
    <w:rsid w:val="002C2CA2"/>
    <w:rsid w:val="002C2FDD"/>
    <w:rsid w:val="002C306B"/>
    <w:rsid w:val="002C38C6"/>
    <w:rsid w:val="002C3BF3"/>
    <w:rsid w:val="002C3FAC"/>
    <w:rsid w:val="002C41FE"/>
    <w:rsid w:val="002C4209"/>
    <w:rsid w:val="002C6A2D"/>
    <w:rsid w:val="002C7237"/>
    <w:rsid w:val="002C789E"/>
    <w:rsid w:val="002C7A3D"/>
    <w:rsid w:val="002D0233"/>
    <w:rsid w:val="002D0DD9"/>
    <w:rsid w:val="002D0E19"/>
    <w:rsid w:val="002D0F3B"/>
    <w:rsid w:val="002D0F6A"/>
    <w:rsid w:val="002D1F3F"/>
    <w:rsid w:val="002D200A"/>
    <w:rsid w:val="002D20C0"/>
    <w:rsid w:val="002D22E1"/>
    <w:rsid w:val="002D27A0"/>
    <w:rsid w:val="002D34B0"/>
    <w:rsid w:val="002D3763"/>
    <w:rsid w:val="002D39E4"/>
    <w:rsid w:val="002D448B"/>
    <w:rsid w:val="002D4B15"/>
    <w:rsid w:val="002D50DE"/>
    <w:rsid w:val="002D5FA7"/>
    <w:rsid w:val="002D63C8"/>
    <w:rsid w:val="002D6CA7"/>
    <w:rsid w:val="002D6FDF"/>
    <w:rsid w:val="002D7BB3"/>
    <w:rsid w:val="002D7DBC"/>
    <w:rsid w:val="002D7EF5"/>
    <w:rsid w:val="002E10D0"/>
    <w:rsid w:val="002E1B45"/>
    <w:rsid w:val="002E1CFB"/>
    <w:rsid w:val="002E1E1B"/>
    <w:rsid w:val="002E2772"/>
    <w:rsid w:val="002E2E0B"/>
    <w:rsid w:val="002E2F86"/>
    <w:rsid w:val="002E3FD6"/>
    <w:rsid w:val="002E4439"/>
    <w:rsid w:val="002E470A"/>
    <w:rsid w:val="002E495C"/>
    <w:rsid w:val="002E4A83"/>
    <w:rsid w:val="002E75F8"/>
    <w:rsid w:val="002E7F56"/>
    <w:rsid w:val="002F0446"/>
    <w:rsid w:val="002F2A6A"/>
    <w:rsid w:val="002F2C83"/>
    <w:rsid w:val="002F2CCE"/>
    <w:rsid w:val="002F3567"/>
    <w:rsid w:val="002F35C6"/>
    <w:rsid w:val="002F383F"/>
    <w:rsid w:val="002F395F"/>
    <w:rsid w:val="002F5AAF"/>
    <w:rsid w:val="002F6632"/>
    <w:rsid w:val="002F6A23"/>
    <w:rsid w:val="002F6B6E"/>
    <w:rsid w:val="002F6DBF"/>
    <w:rsid w:val="002F70CC"/>
    <w:rsid w:val="002F7DC3"/>
    <w:rsid w:val="002F7FA4"/>
    <w:rsid w:val="003002D4"/>
    <w:rsid w:val="003005F0"/>
    <w:rsid w:val="0030152D"/>
    <w:rsid w:val="003016F1"/>
    <w:rsid w:val="00301877"/>
    <w:rsid w:val="0030211E"/>
    <w:rsid w:val="0030265D"/>
    <w:rsid w:val="00302695"/>
    <w:rsid w:val="0030314C"/>
    <w:rsid w:val="00303581"/>
    <w:rsid w:val="00303A26"/>
    <w:rsid w:val="00303EDF"/>
    <w:rsid w:val="003040F7"/>
    <w:rsid w:val="00304197"/>
    <w:rsid w:val="0030427B"/>
    <w:rsid w:val="0030436F"/>
    <w:rsid w:val="0030475F"/>
    <w:rsid w:val="003051B1"/>
    <w:rsid w:val="0030648C"/>
    <w:rsid w:val="00306960"/>
    <w:rsid w:val="0030696C"/>
    <w:rsid w:val="00307C40"/>
    <w:rsid w:val="00310942"/>
    <w:rsid w:val="00310FC2"/>
    <w:rsid w:val="0031109D"/>
    <w:rsid w:val="003111EB"/>
    <w:rsid w:val="003121D8"/>
    <w:rsid w:val="00313556"/>
    <w:rsid w:val="003138EB"/>
    <w:rsid w:val="003144DF"/>
    <w:rsid w:val="0031509E"/>
    <w:rsid w:val="00315EC8"/>
    <w:rsid w:val="003166D9"/>
    <w:rsid w:val="00316DAC"/>
    <w:rsid w:val="00317488"/>
    <w:rsid w:val="0031765E"/>
    <w:rsid w:val="00317720"/>
    <w:rsid w:val="00317816"/>
    <w:rsid w:val="00317EAB"/>
    <w:rsid w:val="00317F3C"/>
    <w:rsid w:val="00320422"/>
    <w:rsid w:val="00320604"/>
    <w:rsid w:val="00320A3B"/>
    <w:rsid w:val="003217CD"/>
    <w:rsid w:val="0032209F"/>
    <w:rsid w:val="003224A9"/>
    <w:rsid w:val="00322DEF"/>
    <w:rsid w:val="00322FEF"/>
    <w:rsid w:val="00323768"/>
    <w:rsid w:val="0032452B"/>
    <w:rsid w:val="003248DA"/>
    <w:rsid w:val="003251D9"/>
    <w:rsid w:val="00325C2F"/>
    <w:rsid w:val="00325E75"/>
    <w:rsid w:val="00325F1F"/>
    <w:rsid w:val="003261ED"/>
    <w:rsid w:val="003263B6"/>
    <w:rsid w:val="00327046"/>
    <w:rsid w:val="003271C8"/>
    <w:rsid w:val="00327492"/>
    <w:rsid w:val="00327B70"/>
    <w:rsid w:val="00327F2D"/>
    <w:rsid w:val="003312C7"/>
    <w:rsid w:val="00331501"/>
    <w:rsid w:val="00331C21"/>
    <w:rsid w:val="003328BF"/>
    <w:rsid w:val="00332E25"/>
    <w:rsid w:val="00332FF2"/>
    <w:rsid w:val="00333F6F"/>
    <w:rsid w:val="003347DD"/>
    <w:rsid w:val="00335493"/>
    <w:rsid w:val="0033580B"/>
    <w:rsid w:val="00335DD4"/>
    <w:rsid w:val="00335FB0"/>
    <w:rsid w:val="003370D3"/>
    <w:rsid w:val="00337408"/>
    <w:rsid w:val="0033745A"/>
    <w:rsid w:val="00340279"/>
    <w:rsid w:val="00340604"/>
    <w:rsid w:val="003410F6"/>
    <w:rsid w:val="0034145C"/>
    <w:rsid w:val="00341B80"/>
    <w:rsid w:val="00342C74"/>
    <w:rsid w:val="003430D5"/>
    <w:rsid w:val="003432E7"/>
    <w:rsid w:val="00344141"/>
    <w:rsid w:val="003443D6"/>
    <w:rsid w:val="003445AC"/>
    <w:rsid w:val="00345133"/>
    <w:rsid w:val="003455D5"/>
    <w:rsid w:val="00345669"/>
    <w:rsid w:val="003460B6"/>
    <w:rsid w:val="003463EF"/>
    <w:rsid w:val="00347094"/>
    <w:rsid w:val="00347239"/>
    <w:rsid w:val="00347C9D"/>
    <w:rsid w:val="0035060F"/>
    <w:rsid w:val="00350EDA"/>
    <w:rsid w:val="003516D3"/>
    <w:rsid w:val="003527DA"/>
    <w:rsid w:val="00352BB1"/>
    <w:rsid w:val="00353FB7"/>
    <w:rsid w:val="00354036"/>
    <w:rsid w:val="003541DA"/>
    <w:rsid w:val="003546DA"/>
    <w:rsid w:val="00354C02"/>
    <w:rsid w:val="00354DA4"/>
    <w:rsid w:val="003551E1"/>
    <w:rsid w:val="00355428"/>
    <w:rsid w:val="003556B3"/>
    <w:rsid w:val="00355FD8"/>
    <w:rsid w:val="003569C2"/>
    <w:rsid w:val="0035740B"/>
    <w:rsid w:val="003576D4"/>
    <w:rsid w:val="00357D3C"/>
    <w:rsid w:val="0036034F"/>
    <w:rsid w:val="003604E1"/>
    <w:rsid w:val="00360683"/>
    <w:rsid w:val="0036081B"/>
    <w:rsid w:val="00361306"/>
    <w:rsid w:val="003617EA"/>
    <w:rsid w:val="00361AE5"/>
    <w:rsid w:val="0036261C"/>
    <w:rsid w:val="00362B0F"/>
    <w:rsid w:val="00362C71"/>
    <w:rsid w:val="003632C5"/>
    <w:rsid w:val="003636AF"/>
    <w:rsid w:val="003637E3"/>
    <w:rsid w:val="00363C95"/>
    <w:rsid w:val="003641D1"/>
    <w:rsid w:val="00364351"/>
    <w:rsid w:val="00364855"/>
    <w:rsid w:val="00365144"/>
    <w:rsid w:val="00365577"/>
    <w:rsid w:val="00365FA4"/>
    <w:rsid w:val="003672BB"/>
    <w:rsid w:val="003675DC"/>
    <w:rsid w:val="00367D6F"/>
    <w:rsid w:val="0037066A"/>
    <w:rsid w:val="00370B7A"/>
    <w:rsid w:val="00372D42"/>
    <w:rsid w:val="003731E9"/>
    <w:rsid w:val="003733B1"/>
    <w:rsid w:val="00373A4A"/>
    <w:rsid w:val="003740A4"/>
    <w:rsid w:val="0037485F"/>
    <w:rsid w:val="00374EBE"/>
    <w:rsid w:val="00375A4B"/>
    <w:rsid w:val="00375AC0"/>
    <w:rsid w:val="00375AF6"/>
    <w:rsid w:val="00376016"/>
    <w:rsid w:val="003772E6"/>
    <w:rsid w:val="003776D3"/>
    <w:rsid w:val="00377D22"/>
    <w:rsid w:val="003802AF"/>
    <w:rsid w:val="00380D90"/>
    <w:rsid w:val="0038144F"/>
    <w:rsid w:val="00381510"/>
    <w:rsid w:val="00382A96"/>
    <w:rsid w:val="00383716"/>
    <w:rsid w:val="00383D6A"/>
    <w:rsid w:val="00385C2D"/>
    <w:rsid w:val="00386147"/>
    <w:rsid w:val="00386477"/>
    <w:rsid w:val="003866AA"/>
    <w:rsid w:val="00387E09"/>
    <w:rsid w:val="003900F2"/>
    <w:rsid w:val="003912B1"/>
    <w:rsid w:val="00391475"/>
    <w:rsid w:val="00391CAD"/>
    <w:rsid w:val="00391EB4"/>
    <w:rsid w:val="00391FEA"/>
    <w:rsid w:val="003931EA"/>
    <w:rsid w:val="00393837"/>
    <w:rsid w:val="00393C0F"/>
    <w:rsid w:val="00394645"/>
    <w:rsid w:val="003947BD"/>
    <w:rsid w:val="00394966"/>
    <w:rsid w:val="00394AB7"/>
    <w:rsid w:val="00394DE6"/>
    <w:rsid w:val="003953A5"/>
    <w:rsid w:val="00395607"/>
    <w:rsid w:val="00395EA9"/>
    <w:rsid w:val="0039618D"/>
    <w:rsid w:val="003961B0"/>
    <w:rsid w:val="00397FFD"/>
    <w:rsid w:val="003A0783"/>
    <w:rsid w:val="003A0835"/>
    <w:rsid w:val="003A08F4"/>
    <w:rsid w:val="003A09C7"/>
    <w:rsid w:val="003A16DD"/>
    <w:rsid w:val="003A1FC6"/>
    <w:rsid w:val="003A3022"/>
    <w:rsid w:val="003A32FB"/>
    <w:rsid w:val="003A3AC0"/>
    <w:rsid w:val="003A4047"/>
    <w:rsid w:val="003A4480"/>
    <w:rsid w:val="003A515D"/>
    <w:rsid w:val="003A59ED"/>
    <w:rsid w:val="003A602E"/>
    <w:rsid w:val="003A61DC"/>
    <w:rsid w:val="003A683C"/>
    <w:rsid w:val="003A6C46"/>
    <w:rsid w:val="003A7189"/>
    <w:rsid w:val="003A7404"/>
    <w:rsid w:val="003A7A7F"/>
    <w:rsid w:val="003A7C47"/>
    <w:rsid w:val="003B009F"/>
    <w:rsid w:val="003B05A1"/>
    <w:rsid w:val="003B06E7"/>
    <w:rsid w:val="003B1923"/>
    <w:rsid w:val="003B2780"/>
    <w:rsid w:val="003B2830"/>
    <w:rsid w:val="003B2E09"/>
    <w:rsid w:val="003B2E8E"/>
    <w:rsid w:val="003B325E"/>
    <w:rsid w:val="003B37F6"/>
    <w:rsid w:val="003B3DB2"/>
    <w:rsid w:val="003B3E35"/>
    <w:rsid w:val="003B4904"/>
    <w:rsid w:val="003B4ADE"/>
    <w:rsid w:val="003B5187"/>
    <w:rsid w:val="003B56CA"/>
    <w:rsid w:val="003B5D7C"/>
    <w:rsid w:val="003B64EF"/>
    <w:rsid w:val="003B67F3"/>
    <w:rsid w:val="003B685D"/>
    <w:rsid w:val="003B69A3"/>
    <w:rsid w:val="003B7F66"/>
    <w:rsid w:val="003C0D13"/>
    <w:rsid w:val="003C0E00"/>
    <w:rsid w:val="003C191C"/>
    <w:rsid w:val="003C24F7"/>
    <w:rsid w:val="003C27E6"/>
    <w:rsid w:val="003C28E9"/>
    <w:rsid w:val="003C2F6D"/>
    <w:rsid w:val="003C3A94"/>
    <w:rsid w:val="003C4449"/>
    <w:rsid w:val="003C4840"/>
    <w:rsid w:val="003C48FC"/>
    <w:rsid w:val="003C4A63"/>
    <w:rsid w:val="003C4AB2"/>
    <w:rsid w:val="003C5D62"/>
    <w:rsid w:val="003C6269"/>
    <w:rsid w:val="003C71F2"/>
    <w:rsid w:val="003C7B4C"/>
    <w:rsid w:val="003C7C34"/>
    <w:rsid w:val="003D14E3"/>
    <w:rsid w:val="003D1D1B"/>
    <w:rsid w:val="003D2960"/>
    <w:rsid w:val="003D2AE3"/>
    <w:rsid w:val="003D2C3A"/>
    <w:rsid w:val="003D2D3D"/>
    <w:rsid w:val="003D3012"/>
    <w:rsid w:val="003D3862"/>
    <w:rsid w:val="003D408A"/>
    <w:rsid w:val="003D42D2"/>
    <w:rsid w:val="003D43D1"/>
    <w:rsid w:val="003D483F"/>
    <w:rsid w:val="003D4914"/>
    <w:rsid w:val="003D5A05"/>
    <w:rsid w:val="003D6591"/>
    <w:rsid w:val="003D693F"/>
    <w:rsid w:val="003D73F7"/>
    <w:rsid w:val="003D7913"/>
    <w:rsid w:val="003D79C7"/>
    <w:rsid w:val="003E029E"/>
    <w:rsid w:val="003E05D4"/>
    <w:rsid w:val="003E072C"/>
    <w:rsid w:val="003E0AF7"/>
    <w:rsid w:val="003E0B28"/>
    <w:rsid w:val="003E0BAA"/>
    <w:rsid w:val="003E11CA"/>
    <w:rsid w:val="003E15F9"/>
    <w:rsid w:val="003E1963"/>
    <w:rsid w:val="003E22D9"/>
    <w:rsid w:val="003E2709"/>
    <w:rsid w:val="003E4F2B"/>
    <w:rsid w:val="003E5BC7"/>
    <w:rsid w:val="003E6831"/>
    <w:rsid w:val="003E69C9"/>
    <w:rsid w:val="003E6D11"/>
    <w:rsid w:val="003F0285"/>
    <w:rsid w:val="003F063F"/>
    <w:rsid w:val="003F15F6"/>
    <w:rsid w:val="003F17EF"/>
    <w:rsid w:val="003F2227"/>
    <w:rsid w:val="003F28B3"/>
    <w:rsid w:val="003F2E7F"/>
    <w:rsid w:val="003F38AB"/>
    <w:rsid w:val="003F38F4"/>
    <w:rsid w:val="003F3E0B"/>
    <w:rsid w:val="003F4332"/>
    <w:rsid w:val="003F446C"/>
    <w:rsid w:val="003F6582"/>
    <w:rsid w:val="003F66AE"/>
    <w:rsid w:val="003F6CF3"/>
    <w:rsid w:val="003F7C29"/>
    <w:rsid w:val="00400014"/>
    <w:rsid w:val="00400BCC"/>
    <w:rsid w:val="004015F7"/>
    <w:rsid w:val="004017CB"/>
    <w:rsid w:val="00401B42"/>
    <w:rsid w:val="00401D49"/>
    <w:rsid w:val="00401DDA"/>
    <w:rsid w:val="00401F06"/>
    <w:rsid w:val="00402186"/>
    <w:rsid w:val="004023B2"/>
    <w:rsid w:val="0040243E"/>
    <w:rsid w:val="004034F8"/>
    <w:rsid w:val="00403CD9"/>
    <w:rsid w:val="0040497D"/>
    <w:rsid w:val="00405089"/>
    <w:rsid w:val="00405601"/>
    <w:rsid w:val="004067FB"/>
    <w:rsid w:val="00407010"/>
    <w:rsid w:val="00407CBE"/>
    <w:rsid w:val="00407DD7"/>
    <w:rsid w:val="00407FEE"/>
    <w:rsid w:val="00410AEF"/>
    <w:rsid w:val="00410F19"/>
    <w:rsid w:val="004120C8"/>
    <w:rsid w:val="004121F7"/>
    <w:rsid w:val="0041447F"/>
    <w:rsid w:val="00414BDF"/>
    <w:rsid w:val="004152A0"/>
    <w:rsid w:val="004152DB"/>
    <w:rsid w:val="00416D50"/>
    <w:rsid w:val="00417120"/>
    <w:rsid w:val="00420068"/>
    <w:rsid w:val="004207FE"/>
    <w:rsid w:val="00420EE4"/>
    <w:rsid w:val="004214C2"/>
    <w:rsid w:val="004217F3"/>
    <w:rsid w:val="00421BE0"/>
    <w:rsid w:val="004220D2"/>
    <w:rsid w:val="004222C4"/>
    <w:rsid w:val="00422A10"/>
    <w:rsid w:val="004230E0"/>
    <w:rsid w:val="00423F94"/>
    <w:rsid w:val="00424091"/>
    <w:rsid w:val="0042456D"/>
    <w:rsid w:val="00424831"/>
    <w:rsid w:val="0042609E"/>
    <w:rsid w:val="004268CD"/>
    <w:rsid w:val="00430169"/>
    <w:rsid w:val="00431533"/>
    <w:rsid w:val="00431AD4"/>
    <w:rsid w:val="00431D0F"/>
    <w:rsid w:val="00431FA3"/>
    <w:rsid w:val="0043218C"/>
    <w:rsid w:val="00432623"/>
    <w:rsid w:val="004327E2"/>
    <w:rsid w:val="0043351A"/>
    <w:rsid w:val="0043479A"/>
    <w:rsid w:val="0043485F"/>
    <w:rsid w:val="00434E77"/>
    <w:rsid w:val="0043614B"/>
    <w:rsid w:val="00436B64"/>
    <w:rsid w:val="00436C34"/>
    <w:rsid w:val="00440B82"/>
    <w:rsid w:val="00440C4F"/>
    <w:rsid w:val="00440E44"/>
    <w:rsid w:val="004412E4"/>
    <w:rsid w:val="00441307"/>
    <w:rsid w:val="00441A9A"/>
    <w:rsid w:val="00441DE2"/>
    <w:rsid w:val="00442902"/>
    <w:rsid w:val="00442AB9"/>
    <w:rsid w:val="0044308E"/>
    <w:rsid w:val="0044381F"/>
    <w:rsid w:val="00444119"/>
    <w:rsid w:val="00444FCD"/>
    <w:rsid w:val="00446286"/>
    <w:rsid w:val="0044645C"/>
    <w:rsid w:val="00446A82"/>
    <w:rsid w:val="00446D77"/>
    <w:rsid w:val="00447769"/>
    <w:rsid w:val="00447962"/>
    <w:rsid w:val="00447A99"/>
    <w:rsid w:val="00447B16"/>
    <w:rsid w:val="00447C96"/>
    <w:rsid w:val="00447D81"/>
    <w:rsid w:val="004502EC"/>
    <w:rsid w:val="00450D36"/>
    <w:rsid w:val="004514F4"/>
    <w:rsid w:val="00451A3A"/>
    <w:rsid w:val="00451D09"/>
    <w:rsid w:val="00451D81"/>
    <w:rsid w:val="004526A4"/>
    <w:rsid w:val="00452FA4"/>
    <w:rsid w:val="004534D0"/>
    <w:rsid w:val="00453C36"/>
    <w:rsid w:val="00454050"/>
    <w:rsid w:val="00455D5A"/>
    <w:rsid w:val="004560F8"/>
    <w:rsid w:val="0045643B"/>
    <w:rsid w:val="00456AD1"/>
    <w:rsid w:val="004570FC"/>
    <w:rsid w:val="0045741F"/>
    <w:rsid w:val="00457428"/>
    <w:rsid w:val="00457ABE"/>
    <w:rsid w:val="00460BCB"/>
    <w:rsid w:val="00460F69"/>
    <w:rsid w:val="00462A67"/>
    <w:rsid w:val="004638C9"/>
    <w:rsid w:val="00463D69"/>
    <w:rsid w:val="00463E67"/>
    <w:rsid w:val="00464F11"/>
    <w:rsid w:val="00465411"/>
    <w:rsid w:val="004657FC"/>
    <w:rsid w:val="00466BE4"/>
    <w:rsid w:val="0046749B"/>
    <w:rsid w:val="00467740"/>
    <w:rsid w:val="004678D6"/>
    <w:rsid w:val="00470144"/>
    <w:rsid w:val="00470A75"/>
    <w:rsid w:val="00471447"/>
    <w:rsid w:val="00472138"/>
    <w:rsid w:val="004727B1"/>
    <w:rsid w:val="00472DD7"/>
    <w:rsid w:val="0047409B"/>
    <w:rsid w:val="004743E0"/>
    <w:rsid w:val="004747E9"/>
    <w:rsid w:val="00474CFA"/>
    <w:rsid w:val="0047579A"/>
    <w:rsid w:val="00476242"/>
    <w:rsid w:val="00476CFE"/>
    <w:rsid w:val="00476ECD"/>
    <w:rsid w:val="00477054"/>
    <w:rsid w:val="00477060"/>
    <w:rsid w:val="00480211"/>
    <w:rsid w:val="00480F7D"/>
    <w:rsid w:val="0048125F"/>
    <w:rsid w:val="00481D3C"/>
    <w:rsid w:val="00482022"/>
    <w:rsid w:val="004823F3"/>
    <w:rsid w:val="00482645"/>
    <w:rsid w:val="00483081"/>
    <w:rsid w:val="00485E3D"/>
    <w:rsid w:val="00485E9C"/>
    <w:rsid w:val="004870E3"/>
    <w:rsid w:val="004876CD"/>
    <w:rsid w:val="004908E5"/>
    <w:rsid w:val="00490D8D"/>
    <w:rsid w:val="0049206B"/>
    <w:rsid w:val="00493550"/>
    <w:rsid w:val="00493F73"/>
    <w:rsid w:val="00493FC1"/>
    <w:rsid w:val="00494458"/>
    <w:rsid w:val="00494F1B"/>
    <w:rsid w:val="00495183"/>
    <w:rsid w:val="0049591A"/>
    <w:rsid w:val="00495A4B"/>
    <w:rsid w:val="00495D5A"/>
    <w:rsid w:val="004967D9"/>
    <w:rsid w:val="004967F0"/>
    <w:rsid w:val="0049763A"/>
    <w:rsid w:val="00497CF7"/>
    <w:rsid w:val="004A02C4"/>
    <w:rsid w:val="004A07CD"/>
    <w:rsid w:val="004A0A40"/>
    <w:rsid w:val="004A0BDD"/>
    <w:rsid w:val="004A0CE0"/>
    <w:rsid w:val="004A1434"/>
    <w:rsid w:val="004A2781"/>
    <w:rsid w:val="004A2AE0"/>
    <w:rsid w:val="004A2AF2"/>
    <w:rsid w:val="004A3286"/>
    <w:rsid w:val="004A35B5"/>
    <w:rsid w:val="004A3AD9"/>
    <w:rsid w:val="004A3B27"/>
    <w:rsid w:val="004A41A8"/>
    <w:rsid w:val="004A460E"/>
    <w:rsid w:val="004A46AD"/>
    <w:rsid w:val="004A5B09"/>
    <w:rsid w:val="004A5B46"/>
    <w:rsid w:val="004A60BA"/>
    <w:rsid w:val="004A6953"/>
    <w:rsid w:val="004A6B9C"/>
    <w:rsid w:val="004A79B0"/>
    <w:rsid w:val="004A7C18"/>
    <w:rsid w:val="004B107B"/>
    <w:rsid w:val="004B1440"/>
    <w:rsid w:val="004B20DA"/>
    <w:rsid w:val="004B20F1"/>
    <w:rsid w:val="004B2819"/>
    <w:rsid w:val="004B3E4C"/>
    <w:rsid w:val="004B4389"/>
    <w:rsid w:val="004B4703"/>
    <w:rsid w:val="004B4C8C"/>
    <w:rsid w:val="004B5AF6"/>
    <w:rsid w:val="004B5E4B"/>
    <w:rsid w:val="004B7379"/>
    <w:rsid w:val="004C05EB"/>
    <w:rsid w:val="004C0637"/>
    <w:rsid w:val="004C0C3C"/>
    <w:rsid w:val="004C2121"/>
    <w:rsid w:val="004C2C4C"/>
    <w:rsid w:val="004C316B"/>
    <w:rsid w:val="004C365D"/>
    <w:rsid w:val="004C3ECF"/>
    <w:rsid w:val="004C617A"/>
    <w:rsid w:val="004C63AE"/>
    <w:rsid w:val="004C65B2"/>
    <w:rsid w:val="004C6B0D"/>
    <w:rsid w:val="004C7244"/>
    <w:rsid w:val="004C7E4C"/>
    <w:rsid w:val="004D0A88"/>
    <w:rsid w:val="004D0CAB"/>
    <w:rsid w:val="004D0D34"/>
    <w:rsid w:val="004D0F32"/>
    <w:rsid w:val="004D1B0D"/>
    <w:rsid w:val="004D1D14"/>
    <w:rsid w:val="004D2296"/>
    <w:rsid w:val="004D2364"/>
    <w:rsid w:val="004D3725"/>
    <w:rsid w:val="004D41D7"/>
    <w:rsid w:val="004D4414"/>
    <w:rsid w:val="004D49CB"/>
    <w:rsid w:val="004D5050"/>
    <w:rsid w:val="004D6483"/>
    <w:rsid w:val="004D6A8D"/>
    <w:rsid w:val="004D70AF"/>
    <w:rsid w:val="004D7258"/>
    <w:rsid w:val="004D7AAB"/>
    <w:rsid w:val="004D7D28"/>
    <w:rsid w:val="004E029A"/>
    <w:rsid w:val="004E1223"/>
    <w:rsid w:val="004E168F"/>
    <w:rsid w:val="004E184C"/>
    <w:rsid w:val="004E1932"/>
    <w:rsid w:val="004E20B6"/>
    <w:rsid w:val="004E29C7"/>
    <w:rsid w:val="004E2B6A"/>
    <w:rsid w:val="004E41AF"/>
    <w:rsid w:val="004E510D"/>
    <w:rsid w:val="004E5130"/>
    <w:rsid w:val="004E5202"/>
    <w:rsid w:val="004E5BE9"/>
    <w:rsid w:val="004E6734"/>
    <w:rsid w:val="004E67C8"/>
    <w:rsid w:val="004E768D"/>
    <w:rsid w:val="004F0060"/>
    <w:rsid w:val="004F06AD"/>
    <w:rsid w:val="004F0BCA"/>
    <w:rsid w:val="004F1480"/>
    <w:rsid w:val="004F1B35"/>
    <w:rsid w:val="004F1D17"/>
    <w:rsid w:val="004F252B"/>
    <w:rsid w:val="004F25F0"/>
    <w:rsid w:val="004F2F11"/>
    <w:rsid w:val="004F303F"/>
    <w:rsid w:val="004F3A7D"/>
    <w:rsid w:val="004F3B68"/>
    <w:rsid w:val="004F48C7"/>
    <w:rsid w:val="004F4E73"/>
    <w:rsid w:val="004F5075"/>
    <w:rsid w:val="004F5162"/>
    <w:rsid w:val="004F5EAF"/>
    <w:rsid w:val="004F5EFF"/>
    <w:rsid w:val="004F6528"/>
    <w:rsid w:val="004F6D84"/>
    <w:rsid w:val="005007C9"/>
    <w:rsid w:val="00501A49"/>
    <w:rsid w:val="00501C51"/>
    <w:rsid w:val="00501F3F"/>
    <w:rsid w:val="00503168"/>
    <w:rsid w:val="00503193"/>
    <w:rsid w:val="005033C6"/>
    <w:rsid w:val="0050378D"/>
    <w:rsid w:val="00503B53"/>
    <w:rsid w:val="00504235"/>
    <w:rsid w:val="005057CB"/>
    <w:rsid w:val="0050587B"/>
    <w:rsid w:val="00505FDE"/>
    <w:rsid w:val="00506ADE"/>
    <w:rsid w:val="00507800"/>
    <w:rsid w:val="005079AA"/>
    <w:rsid w:val="00511322"/>
    <w:rsid w:val="00511BC5"/>
    <w:rsid w:val="00512326"/>
    <w:rsid w:val="005126B9"/>
    <w:rsid w:val="0051291C"/>
    <w:rsid w:val="00512C75"/>
    <w:rsid w:val="00513805"/>
    <w:rsid w:val="00513C6F"/>
    <w:rsid w:val="00513D95"/>
    <w:rsid w:val="00513DA7"/>
    <w:rsid w:val="00514033"/>
    <w:rsid w:val="00514509"/>
    <w:rsid w:val="005148BC"/>
    <w:rsid w:val="00515386"/>
    <w:rsid w:val="00515511"/>
    <w:rsid w:val="00515726"/>
    <w:rsid w:val="005157C5"/>
    <w:rsid w:val="00515852"/>
    <w:rsid w:val="00515CC1"/>
    <w:rsid w:val="00515E54"/>
    <w:rsid w:val="005166B7"/>
    <w:rsid w:val="0051695F"/>
    <w:rsid w:val="00516AA9"/>
    <w:rsid w:val="00516DAE"/>
    <w:rsid w:val="00520A73"/>
    <w:rsid w:val="005210EC"/>
    <w:rsid w:val="005223A6"/>
    <w:rsid w:val="00522793"/>
    <w:rsid w:val="00522849"/>
    <w:rsid w:val="0052319C"/>
    <w:rsid w:val="00523C9B"/>
    <w:rsid w:val="00524265"/>
    <w:rsid w:val="00524E48"/>
    <w:rsid w:val="0052522E"/>
    <w:rsid w:val="00525CA3"/>
    <w:rsid w:val="00525D3B"/>
    <w:rsid w:val="00525FD8"/>
    <w:rsid w:val="0052712B"/>
    <w:rsid w:val="005276EA"/>
    <w:rsid w:val="00527C39"/>
    <w:rsid w:val="00531079"/>
    <w:rsid w:val="00531430"/>
    <w:rsid w:val="0053174A"/>
    <w:rsid w:val="0053251C"/>
    <w:rsid w:val="005326F5"/>
    <w:rsid w:val="00533BA5"/>
    <w:rsid w:val="005342EB"/>
    <w:rsid w:val="0053462E"/>
    <w:rsid w:val="00534638"/>
    <w:rsid w:val="0053478B"/>
    <w:rsid w:val="0053566E"/>
    <w:rsid w:val="00535719"/>
    <w:rsid w:val="00535BB1"/>
    <w:rsid w:val="00535FE2"/>
    <w:rsid w:val="005363AB"/>
    <w:rsid w:val="00536AC7"/>
    <w:rsid w:val="005376BE"/>
    <w:rsid w:val="00540ACA"/>
    <w:rsid w:val="00541557"/>
    <w:rsid w:val="005426E3"/>
    <w:rsid w:val="00542BEC"/>
    <w:rsid w:val="00542CED"/>
    <w:rsid w:val="00542FD5"/>
    <w:rsid w:val="005434AD"/>
    <w:rsid w:val="00543516"/>
    <w:rsid w:val="00544450"/>
    <w:rsid w:val="00545A4A"/>
    <w:rsid w:val="00550585"/>
    <w:rsid w:val="00550BFA"/>
    <w:rsid w:val="00550E01"/>
    <w:rsid w:val="00551DE1"/>
    <w:rsid w:val="0055254A"/>
    <w:rsid w:val="00552617"/>
    <w:rsid w:val="00552E18"/>
    <w:rsid w:val="00553053"/>
    <w:rsid w:val="005531D7"/>
    <w:rsid w:val="005546AF"/>
    <w:rsid w:val="00554B36"/>
    <w:rsid w:val="00555192"/>
    <w:rsid w:val="0055527D"/>
    <w:rsid w:val="0055655F"/>
    <w:rsid w:val="00556C3D"/>
    <w:rsid w:val="00557DC5"/>
    <w:rsid w:val="00560EEA"/>
    <w:rsid w:val="00561840"/>
    <w:rsid w:val="00561847"/>
    <w:rsid w:val="005621EC"/>
    <w:rsid w:val="00562747"/>
    <w:rsid w:val="0056308B"/>
    <w:rsid w:val="005640FB"/>
    <w:rsid w:val="005642DB"/>
    <w:rsid w:val="005644A4"/>
    <w:rsid w:val="00564A76"/>
    <w:rsid w:val="00565807"/>
    <w:rsid w:val="00565B02"/>
    <w:rsid w:val="00566499"/>
    <w:rsid w:val="00566AAD"/>
    <w:rsid w:val="00566D80"/>
    <w:rsid w:val="005708E2"/>
    <w:rsid w:val="0057092E"/>
    <w:rsid w:val="005719FF"/>
    <w:rsid w:val="00571C15"/>
    <w:rsid w:val="00571CF6"/>
    <w:rsid w:val="00571E40"/>
    <w:rsid w:val="0057221F"/>
    <w:rsid w:val="00573360"/>
    <w:rsid w:val="005733D8"/>
    <w:rsid w:val="00573707"/>
    <w:rsid w:val="00573DD2"/>
    <w:rsid w:val="005740E3"/>
    <w:rsid w:val="005748EE"/>
    <w:rsid w:val="00574948"/>
    <w:rsid w:val="00574E86"/>
    <w:rsid w:val="00575506"/>
    <w:rsid w:val="005762A4"/>
    <w:rsid w:val="00576324"/>
    <w:rsid w:val="00576A95"/>
    <w:rsid w:val="005776AC"/>
    <w:rsid w:val="005804F1"/>
    <w:rsid w:val="00580A07"/>
    <w:rsid w:val="00580ECC"/>
    <w:rsid w:val="00581FCF"/>
    <w:rsid w:val="00582006"/>
    <w:rsid w:val="0058227E"/>
    <w:rsid w:val="00582B72"/>
    <w:rsid w:val="00583036"/>
    <w:rsid w:val="00583C89"/>
    <w:rsid w:val="00584363"/>
    <w:rsid w:val="00584870"/>
    <w:rsid w:val="00584F53"/>
    <w:rsid w:val="00585DE2"/>
    <w:rsid w:val="00585E2C"/>
    <w:rsid w:val="005866AF"/>
    <w:rsid w:val="0058751F"/>
    <w:rsid w:val="00587744"/>
    <w:rsid w:val="00587A39"/>
    <w:rsid w:val="00587D56"/>
    <w:rsid w:val="00587DF5"/>
    <w:rsid w:val="00590856"/>
    <w:rsid w:val="00591276"/>
    <w:rsid w:val="0059158C"/>
    <w:rsid w:val="0059179B"/>
    <w:rsid w:val="0059225B"/>
    <w:rsid w:val="0059248C"/>
    <w:rsid w:val="00592962"/>
    <w:rsid w:val="005930BE"/>
    <w:rsid w:val="005932B3"/>
    <w:rsid w:val="00593358"/>
    <w:rsid w:val="005936A0"/>
    <w:rsid w:val="005942BC"/>
    <w:rsid w:val="00594502"/>
    <w:rsid w:val="00594BE4"/>
    <w:rsid w:val="00595252"/>
    <w:rsid w:val="00595E6A"/>
    <w:rsid w:val="00595EAF"/>
    <w:rsid w:val="00595F86"/>
    <w:rsid w:val="00595FD9"/>
    <w:rsid w:val="00596174"/>
    <w:rsid w:val="00596892"/>
    <w:rsid w:val="00596FB6"/>
    <w:rsid w:val="005A00C4"/>
    <w:rsid w:val="005A08C8"/>
    <w:rsid w:val="005A1D10"/>
    <w:rsid w:val="005A2AA3"/>
    <w:rsid w:val="005A2D78"/>
    <w:rsid w:val="005A37AF"/>
    <w:rsid w:val="005A3A1E"/>
    <w:rsid w:val="005A41CE"/>
    <w:rsid w:val="005A4EF6"/>
    <w:rsid w:val="005A5420"/>
    <w:rsid w:val="005A5964"/>
    <w:rsid w:val="005A59B0"/>
    <w:rsid w:val="005A6877"/>
    <w:rsid w:val="005A7402"/>
    <w:rsid w:val="005A7432"/>
    <w:rsid w:val="005A7BE4"/>
    <w:rsid w:val="005B058D"/>
    <w:rsid w:val="005B0649"/>
    <w:rsid w:val="005B10D6"/>
    <w:rsid w:val="005B11F8"/>
    <w:rsid w:val="005B1A72"/>
    <w:rsid w:val="005B23D1"/>
    <w:rsid w:val="005B338F"/>
    <w:rsid w:val="005B3E55"/>
    <w:rsid w:val="005B4455"/>
    <w:rsid w:val="005B5FA3"/>
    <w:rsid w:val="005B6814"/>
    <w:rsid w:val="005B6E58"/>
    <w:rsid w:val="005B7A4F"/>
    <w:rsid w:val="005C0660"/>
    <w:rsid w:val="005C0820"/>
    <w:rsid w:val="005C11A6"/>
    <w:rsid w:val="005C137E"/>
    <w:rsid w:val="005C1804"/>
    <w:rsid w:val="005C2884"/>
    <w:rsid w:val="005C2DAC"/>
    <w:rsid w:val="005C310F"/>
    <w:rsid w:val="005C336B"/>
    <w:rsid w:val="005C37BD"/>
    <w:rsid w:val="005C3976"/>
    <w:rsid w:val="005C3D4E"/>
    <w:rsid w:val="005C4AFA"/>
    <w:rsid w:val="005C4CD4"/>
    <w:rsid w:val="005C5266"/>
    <w:rsid w:val="005C53C2"/>
    <w:rsid w:val="005C5B82"/>
    <w:rsid w:val="005C6A01"/>
    <w:rsid w:val="005C6E8B"/>
    <w:rsid w:val="005C7335"/>
    <w:rsid w:val="005C7618"/>
    <w:rsid w:val="005C7783"/>
    <w:rsid w:val="005C79AC"/>
    <w:rsid w:val="005C7D99"/>
    <w:rsid w:val="005C7FEA"/>
    <w:rsid w:val="005D0A5A"/>
    <w:rsid w:val="005D0F55"/>
    <w:rsid w:val="005D15EB"/>
    <w:rsid w:val="005D188C"/>
    <w:rsid w:val="005D1BD7"/>
    <w:rsid w:val="005D1CA1"/>
    <w:rsid w:val="005D224D"/>
    <w:rsid w:val="005D40D0"/>
    <w:rsid w:val="005D50E3"/>
    <w:rsid w:val="005D63C9"/>
    <w:rsid w:val="005D676A"/>
    <w:rsid w:val="005D67B7"/>
    <w:rsid w:val="005D694B"/>
    <w:rsid w:val="005D7093"/>
    <w:rsid w:val="005D7FAE"/>
    <w:rsid w:val="005E04C6"/>
    <w:rsid w:val="005E09DB"/>
    <w:rsid w:val="005E0D70"/>
    <w:rsid w:val="005E16ED"/>
    <w:rsid w:val="005E1754"/>
    <w:rsid w:val="005E1761"/>
    <w:rsid w:val="005E1DB5"/>
    <w:rsid w:val="005E2062"/>
    <w:rsid w:val="005E321F"/>
    <w:rsid w:val="005E3DDC"/>
    <w:rsid w:val="005E3F97"/>
    <w:rsid w:val="005E41A5"/>
    <w:rsid w:val="005E5518"/>
    <w:rsid w:val="005E5BF5"/>
    <w:rsid w:val="005E6045"/>
    <w:rsid w:val="005E7012"/>
    <w:rsid w:val="005E731F"/>
    <w:rsid w:val="005E7841"/>
    <w:rsid w:val="005E7BF8"/>
    <w:rsid w:val="005E7C4B"/>
    <w:rsid w:val="005F13CF"/>
    <w:rsid w:val="005F1496"/>
    <w:rsid w:val="005F2292"/>
    <w:rsid w:val="005F27C9"/>
    <w:rsid w:val="005F2FA9"/>
    <w:rsid w:val="005F41AE"/>
    <w:rsid w:val="005F4DB7"/>
    <w:rsid w:val="005F5429"/>
    <w:rsid w:val="005F5A6C"/>
    <w:rsid w:val="005F606A"/>
    <w:rsid w:val="005F61BE"/>
    <w:rsid w:val="005F6825"/>
    <w:rsid w:val="005F6956"/>
    <w:rsid w:val="005F76A6"/>
    <w:rsid w:val="005F7CA4"/>
    <w:rsid w:val="005F7E3F"/>
    <w:rsid w:val="006003D2"/>
    <w:rsid w:val="00600681"/>
    <w:rsid w:val="006006AB"/>
    <w:rsid w:val="0060140C"/>
    <w:rsid w:val="0060221F"/>
    <w:rsid w:val="00602B1F"/>
    <w:rsid w:val="00602EEE"/>
    <w:rsid w:val="006032E7"/>
    <w:rsid w:val="00603CC0"/>
    <w:rsid w:val="00604481"/>
    <w:rsid w:val="00605BE3"/>
    <w:rsid w:val="00605E4A"/>
    <w:rsid w:val="006060F4"/>
    <w:rsid w:val="00606100"/>
    <w:rsid w:val="0060771D"/>
    <w:rsid w:val="0060787D"/>
    <w:rsid w:val="006100EE"/>
    <w:rsid w:val="006100F5"/>
    <w:rsid w:val="0061039A"/>
    <w:rsid w:val="006103AF"/>
    <w:rsid w:val="006109A1"/>
    <w:rsid w:val="00610BA3"/>
    <w:rsid w:val="00610E0B"/>
    <w:rsid w:val="0061196C"/>
    <w:rsid w:val="0061334C"/>
    <w:rsid w:val="00613971"/>
    <w:rsid w:val="00613985"/>
    <w:rsid w:val="00613F72"/>
    <w:rsid w:val="0061418F"/>
    <w:rsid w:val="006142A1"/>
    <w:rsid w:val="006145F4"/>
    <w:rsid w:val="00615128"/>
    <w:rsid w:val="006156EE"/>
    <w:rsid w:val="00615725"/>
    <w:rsid w:val="00615D30"/>
    <w:rsid w:val="00616041"/>
    <w:rsid w:val="00616375"/>
    <w:rsid w:val="00617812"/>
    <w:rsid w:val="00617A66"/>
    <w:rsid w:val="0062008A"/>
    <w:rsid w:val="00620230"/>
    <w:rsid w:val="006218E4"/>
    <w:rsid w:val="00621E8D"/>
    <w:rsid w:val="0062203F"/>
    <w:rsid w:val="00622522"/>
    <w:rsid w:val="00622EE5"/>
    <w:rsid w:val="00622F0F"/>
    <w:rsid w:val="00623197"/>
    <w:rsid w:val="00624044"/>
    <w:rsid w:val="0062410B"/>
    <w:rsid w:val="00624FE4"/>
    <w:rsid w:val="0062620B"/>
    <w:rsid w:val="00626B7C"/>
    <w:rsid w:val="00626D04"/>
    <w:rsid w:val="00627462"/>
    <w:rsid w:val="00627C62"/>
    <w:rsid w:val="006310A8"/>
    <w:rsid w:val="00631297"/>
    <w:rsid w:val="006322CF"/>
    <w:rsid w:val="00632404"/>
    <w:rsid w:val="00633745"/>
    <w:rsid w:val="00633DCE"/>
    <w:rsid w:val="006347D7"/>
    <w:rsid w:val="0063491D"/>
    <w:rsid w:val="0063495D"/>
    <w:rsid w:val="00634C1D"/>
    <w:rsid w:val="00635AFC"/>
    <w:rsid w:val="00635EDD"/>
    <w:rsid w:val="00636AE3"/>
    <w:rsid w:val="0063790D"/>
    <w:rsid w:val="006419F0"/>
    <w:rsid w:val="0064254F"/>
    <w:rsid w:val="00642695"/>
    <w:rsid w:val="00642E48"/>
    <w:rsid w:val="00642E74"/>
    <w:rsid w:val="00643446"/>
    <w:rsid w:val="0064393C"/>
    <w:rsid w:val="00644643"/>
    <w:rsid w:val="006452C6"/>
    <w:rsid w:val="00645589"/>
    <w:rsid w:val="00647D0D"/>
    <w:rsid w:val="006500AE"/>
    <w:rsid w:val="00650251"/>
    <w:rsid w:val="006502BF"/>
    <w:rsid w:val="00650399"/>
    <w:rsid w:val="006503F4"/>
    <w:rsid w:val="006506B6"/>
    <w:rsid w:val="006510E0"/>
    <w:rsid w:val="00652805"/>
    <w:rsid w:val="00652CAF"/>
    <w:rsid w:val="0065328A"/>
    <w:rsid w:val="006537CE"/>
    <w:rsid w:val="00653C7D"/>
    <w:rsid w:val="00653D46"/>
    <w:rsid w:val="00653E33"/>
    <w:rsid w:val="00654DAB"/>
    <w:rsid w:val="006559AB"/>
    <w:rsid w:val="00655C3D"/>
    <w:rsid w:val="00655EF4"/>
    <w:rsid w:val="0065648C"/>
    <w:rsid w:val="006566DE"/>
    <w:rsid w:val="006576BD"/>
    <w:rsid w:val="00660432"/>
    <w:rsid w:val="00660553"/>
    <w:rsid w:val="006614D9"/>
    <w:rsid w:val="00661765"/>
    <w:rsid w:val="00661AD2"/>
    <w:rsid w:val="00662027"/>
    <w:rsid w:val="0066236C"/>
    <w:rsid w:val="0066254A"/>
    <w:rsid w:val="00662FCA"/>
    <w:rsid w:val="00663840"/>
    <w:rsid w:val="00664802"/>
    <w:rsid w:val="00664EA2"/>
    <w:rsid w:val="00665256"/>
    <w:rsid w:val="00665D13"/>
    <w:rsid w:val="00665E23"/>
    <w:rsid w:val="0066627B"/>
    <w:rsid w:val="006666B8"/>
    <w:rsid w:val="0066743F"/>
    <w:rsid w:val="006677EB"/>
    <w:rsid w:val="00667B95"/>
    <w:rsid w:val="006709C5"/>
    <w:rsid w:val="00670CEE"/>
    <w:rsid w:val="00670DDE"/>
    <w:rsid w:val="00672352"/>
    <w:rsid w:val="006724A7"/>
    <w:rsid w:val="006727BF"/>
    <w:rsid w:val="00672F52"/>
    <w:rsid w:val="00673012"/>
    <w:rsid w:val="00673562"/>
    <w:rsid w:val="0067390D"/>
    <w:rsid w:val="0067446E"/>
    <w:rsid w:val="00674640"/>
    <w:rsid w:val="006747A0"/>
    <w:rsid w:val="00675565"/>
    <w:rsid w:val="0067570C"/>
    <w:rsid w:val="0067572F"/>
    <w:rsid w:val="006767D4"/>
    <w:rsid w:val="00677097"/>
    <w:rsid w:val="00677109"/>
    <w:rsid w:val="00677424"/>
    <w:rsid w:val="006777BA"/>
    <w:rsid w:val="00677BBF"/>
    <w:rsid w:val="00677E60"/>
    <w:rsid w:val="00681124"/>
    <w:rsid w:val="00681E26"/>
    <w:rsid w:val="00682425"/>
    <w:rsid w:val="006828B3"/>
    <w:rsid w:val="00682A13"/>
    <w:rsid w:val="00682DDD"/>
    <w:rsid w:val="00683B77"/>
    <w:rsid w:val="00683E55"/>
    <w:rsid w:val="00683FF1"/>
    <w:rsid w:val="006844F1"/>
    <w:rsid w:val="00684978"/>
    <w:rsid w:val="00684A61"/>
    <w:rsid w:val="00684A8C"/>
    <w:rsid w:val="00684B26"/>
    <w:rsid w:val="00684DBF"/>
    <w:rsid w:val="00685DF4"/>
    <w:rsid w:val="00686332"/>
    <w:rsid w:val="0068683B"/>
    <w:rsid w:val="006869EC"/>
    <w:rsid w:val="0068722D"/>
    <w:rsid w:val="00687D05"/>
    <w:rsid w:val="0069044E"/>
    <w:rsid w:val="006905E9"/>
    <w:rsid w:val="00690828"/>
    <w:rsid w:val="00691943"/>
    <w:rsid w:val="00692243"/>
    <w:rsid w:val="006925AC"/>
    <w:rsid w:val="00692D4F"/>
    <w:rsid w:val="00692EBD"/>
    <w:rsid w:val="006930DB"/>
    <w:rsid w:val="006931A2"/>
    <w:rsid w:val="0069320D"/>
    <w:rsid w:val="00693734"/>
    <w:rsid w:val="00693C57"/>
    <w:rsid w:val="006945CF"/>
    <w:rsid w:val="00695A67"/>
    <w:rsid w:val="00695DCA"/>
    <w:rsid w:val="00696D53"/>
    <w:rsid w:val="00696F06"/>
    <w:rsid w:val="006978E0"/>
    <w:rsid w:val="00697BC1"/>
    <w:rsid w:val="006A0947"/>
    <w:rsid w:val="006A1614"/>
    <w:rsid w:val="006A1707"/>
    <w:rsid w:val="006A1979"/>
    <w:rsid w:val="006A1BE3"/>
    <w:rsid w:val="006A1F7F"/>
    <w:rsid w:val="006A22D8"/>
    <w:rsid w:val="006A2779"/>
    <w:rsid w:val="006A3911"/>
    <w:rsid w:val="006A3D24"/>
    <w:rsid w:val="006A4084"/>
    <w:rsid w:val="006A512E"/>
    <w:rsid w:val="006A54E0"/>
    <w:rsid w:val="006A607D"/>
    <w:rsid w:val="006A624E"/>
    <w:rsid w:val="006A6CDA"/>
    <w:rsid w:val="006A766D"/>
    <w:rsid w:val="006A7BD0"/>
    <w:rsid w:val="006B06BE"/>
    <w:rsid w:val="006B0BD6"/>
    <w:rsid w:val="006B12EA"/>
    <w:rsid w:val="006B1749"/>
    <w:rsid w:val="006B227B"/>
    <w:rsid w:val="006B23DC"/>
    <w:rsid w:val="006B2879"/>
    <w:rsid w:val="006B2E76"/>
    <w:rsid w:val="006B347F"/>
    <w:rsid w:val="006B4AE7"/>
    <w:rsid w:val="006B4BF1"/>
    <w:rsid w:val="006B57E5"/>
    <w:rsid w:val="006B59D3"/>
    <w:rsid w:val="006B5A34"/>
    <w:rsid w:val="006B5C2A"/>
    <w:rsid w:val="006B6ADC"/>
    <w:rsid w:val="006C05BE"/>
    <w:rsid w:val="006C0E76"/>
    <w:rsid w:val="006C164A"/>
    <w:rsid w:val="006C1F42"/>
    <w:rsid w:val="006C2469"/>
    <w:rsid w:val="006C332F"/>
    <w:rsid w:val="006C348F"/>
    <w:rsid w:val="006C3EA6"/>
    <w:rsid w:val="006C5A8A"/>
    <w:rsid w:val="006C5D4B"/>
    <w:rsid w:val="006C60A8"/>
    <w:rsid w:val="006C624E"/>
    <w:rsid w:val="006C6B1B"/>
    <w:rsid w:val="006C7345"/>
    <w:rsid w:val="006C77AD"/>
    <w:rsid w:val="006C7E46"/>
    <w:rsid w:val="006D03D3"/>
    <w:rsid w:val="006D0412"/>
    <w:rsid w:val="006D0980"/>
    <w:rsid w:val="006D0DC6"/>
    <w:rsid w:val="006D109F"/>
    <w:rsid w:val="006D12E6"/>
    <w:rsid w:val="006D146C"/>
    <w:rsid w:val="006D1576"/>
    <w:rsid w:val="006D259C"/>
    <w:rsid w:val="006D3B02"/>
    <w:rsid w:val="006D4099"/>
    <w:rsid w:val="006D469B"/>
    <w:rsid w:val="006D48D3"/>
    <w:rsid w:val="006D554B"/>
    <w:rsid w:val="006D5DC6"/>
    <w:rsid w:val="006D5FC5"/>
    <w:rsid w:val="006D6096"/>
    <w:rsid w:val="006D640B"/>
    <w:rsid w:val="006D6573"/>
    <w:rsid w:val="006D65B8"/>
    <w:rsid w:val="006D6B15"/>
    <w:rsid w:val="006D72D9"/>
    <w:rsid w:val="006D73C3"/>
    <w:rsid w:val="006D7ED5"/>
    <w:rsid w:val="006D7F68"/>
    <w:rsid w:val="006E0B06"/>
    <w:rsid w:val="006E1721"/>
    <w:rsid w:val="006E2019"/>
    <w:rsid w:val="006E2F34"/>
    <w:rsid w:val="006E316C"/>
    <w:rsid w:val="006E353C"/>
    <w:rsid w:val="006E4034"/>
    <w:rsid w:val="006E4619"/>
    <w:rsid w:val="006E4A9A"/>
    <w:rsid w:val="006E55B6"/>
    <w:rsid w:val="006E562D"/>
    <w:rsid w:val="006E647E"/>
    <w:rsid w:val="006E7058"/>
    <w:rsid w:val="006F1352"/>
    <w:rsid w:val="006F136D"/>
    <w:rsid w:val="006F142A"/>
    <w:rsid w:val="006F1BFE"/>
    <w:rsid w:val="006F2C2F"/>
    <w:rsid w:val="006F3061"/>
    <w:rsid w:val="006F5FBE"/>
    <w:rsid w:val="006F6B22"/>
    <w:rsid w:val="006F73B3"/>
    <w:rsid w:val="006F7983"/>
    <w:rsid w:val="006F7FE3"/>
    <w:rsid w:val="00700070"/>
    <w:rsid w:val="00700B63"/>
    <w:rsid w:val="00701817"/>
    <w:rsid w:val="00701870"/>
    <w:rsid w:val="00701BB3"/>
    <w:rsid w:val="00702778"/>
    <w:rsid w:val="00702936"/>
    <w:rsid w:val="007031DC"/>
    <w:rsid w:val="00703654"/>
    <w:rsid w:val="00704B10"/>
    <w:rsid w:val="00705015"/>
    <w:rsid w:val="007061DD"/>
    <w:rsid w:val="00710631"/>
    <w:rsid w:val="00710C1B"/>
    <w:rsid w:val="00711752"/>
    <w:rsid w:val="007118EF"/>
    <w:rsid w:val="007136B1"/>
    <w:rsid w:val="00713ED6"/>
    <w:rsid w:val="00714778"/>
    <w:rsid w:val="00714AA6"/>
    <w:rsid w:val="007158AF"/>
    <w:rsid w:val="007164C9"/>
    <w:rsid w:val="0071656D"/>
    <w:rsid w:val="0071767C"/>
    <w:rsid w:val="007178E5"/>
    <w:rsid w:val="007203DA"/>
    <w:rsid w:val="00720A0C"/>
    <w:rsid w:val="00721255"/>
    <w:rsid w:val="00721455"/>
    <w:rsid w:val="0072170A"/>
    <w:rsid w:val="00722D35"/>
    <w:rsid w:val="0072318E"/>
    <w:rsid w:val="00723E61"/>
    <w:rsid w:val="007244DA"/>
    <w:rsid w:val="00724DA5"/>
    <w:rsid w:val="00724E31"/>
    <w:rsid w:val="00724E58"/>
    <w:rsid w:val="007250B1"/>
    <w:rsid w:val="00725BE8"/>
    <w:rsid w:val="00725EF6"/>
    <w:rsid w:val="00726415"/>
    <w:rsid w:val="0072655B"/>
    <w:rsid w:val="00726651"/>
    <w:rsid w:val="00726B3B"/>
    <w:rsid w:val="00726E1E"/>
    <w:rsid w:val="00727087"/>
    <w:rsid w:val="007303BD"/>
    <w:rsid w:val="0073077D"/>
    <w:rsid w:val="007313FC"/>
    <w:rsid w:val="00732760"/>
    <w:rsid w:val="007327F9"/>
    <w:rsid w:val="00733752"/>
    <w:rsid w:val="007337CD"/>
    <w:rsid w:val="0073412A"/>
    <w:rsid w:val="0073425C"/>
    <w:rsid w:val="0073510F"/>
    <w:rsid w:val="0073538B"/>
    <w:rsid w:val="0073590A"/>
    <w:rsid w:val="007361EC"/>
    <w:rsid w:val="00736E97"/>
    <w:rsid w:val="007374A7"/>
    <w:rsid w:val="00740966"/>
    <w:rsid w:val="00741702"/>
    <w:rsid w:val="00741D5C"/>
    <w:rsid w:val="007421D8"/>
    <w:rsid w:val="00742C93"/>
    <w:rsid w:val="0074303F"/>
    <w:rsid w:val="0074524E"/>
    <w:rsid w:val="00745A77"/>
    <w:rsid w:val="007462DA"/>
    <w:rsid w:val="0074661A"/>
    <w:rsid w:val="0074667C"/>
    <w:rsid w:val="007468C8"/>
    <w:rsid w:val="007469DC"/>
    <w:rsid w:val="007473DF"/>
    <w:rsid w:val="00747BB0"/>
    <w:rsid w:val="00750906"/>
    <w:rsid w:val="00750DDE"/>
    <w:rsid w:val="0075187B"/>
    <w:rsid w:val="00752062"/>
    <w:rsid w:val="00752065"/>
    <w:rsid w:val="00752BD4"/>
    <w:rsid w:val="00753605"/>
    <w:rsid w:val="00753A80"/>
    <w:rsid w:val="0075441C"/>
    <w:rsid w:val="0075565C"/>
    <w:rsid w:val="00755A6A"/>
    <w:rsid w:val="0075658D"/>
    <w:rsid w:val="00756BAA"/>
    <w:rsid w:val="00756FB3"/>
    <w:rsid w:val="00756FFF"/>
    <w:rsid w:val="00757803"/>
    <w:rsid w:val="00757B27"/>
    <w:rsid w:val="007607DE"/>
    <w:rsid w:val="00760C89"/>
    <w:rsid w:val="00760E4A"/>
    <w:rsid w:val="00761D60"/>
    <w:rsid w:val="00761F8A"/>
    <w:rsid w:val="00761FB2"/>
    <w:rsid w:val="00762380"/>
    <w:rsid w:val="007627AA"/>
    <w:rsid w:val="00762FFB"/>
    <w:rsid w:val="00763638"/>
    <w:rsid w:val="00764139"/>
    <w:rsid w:val="007644AB"/>
    <w:rsid w:val="00765097"/>
    <w:rsid w:val="00765392"/>
    <w:rsid w:val="00765805"/>
    <w:rsid w:val="00766FAC"/>
    <w:rsid w:val="007676C4"/>
    <w:rsid w:val="00767AE6"/>
    <w:rsid w:val="007704C8"/>
    <w:rsid w:val="007706A6"/>
    <w:rsid w:val="007706BD"/>
    <w:rsid w:val="00770BCB"/>
    <w:rsid w:val="00770F15"/>
    <w:rsid w:val="007713AF"/>
    <w:rsid w:val="00771AF3"/>
    <w:rsid w:val="00771EDD"/>
    <w:rsid w:val="00771FAC"/>
    <w:rsid w:val="007724BD"/>
    <w:rsid w:val="00772A1A"/>
    <w:rsid w:val="00773E0D"/>
    <w:rsid w:val="00774689"/>
    <w:rsid w:val="00774D09"/>
    <w:rsid w:val="007750FC"/>
    <w:rsid w:val="00776337"/>
    <w:rsid w:val="007763D3"/>
    <w:rsid w:val="00776551"/>
    <w:rsid w:val="00776ADB"/>
    <w:rsid w:val="0077747D"/>
    <w:rsid w:val="00780E19"/>
    <w:rsid w:val="00780EB9"/>
    <w:rsid w:val="007810B8"/>
    <w:rsid w:val="00781F8A"/>
    <w:rsid w:val="00781FAC"/>
    <w:rsid w:val="00782422"/>
    <w:rsid w:val="00782A6B"/>
    <w:rsid w:val="007837BA"/>
    <w:rsid w:val="00784A72"/>
    <w:rsid w:val="00784B7E"/>
    <w:rsid w:val="00785616"/>
    <w:rsid w:val="00785F64"/>
    <w:rsid w:val="00786329"/>
    <w:rsid w:val="00786360"/>
    <w:rsid w:val="0078654C"/>
    <w:rsid w:val="00786791"/>
    <w:rsid w:val="00786878"/>
    <w:rsid w:val="00786F37"/>
    <w:rsid w:val="007877D0"/>
    <w:rsid w:val="00787B05"/>
    <w:rsid w:val="00790053"/>
    <w:rsid w:val="00790550"/>
    <w:rsid w:val="00790D61"/>
    <w:rsid w:val="007913DD"/>
    <w:rsid w:val="00791A29"/>
    <w:rsid w:val="00793236"/>
    <w:rsid w:val="00793434"/>
    <w:rsid w:val="00793552"/>
    <w:rsid w:val="007949B2"/>
    <w:rsid w:val="007954FE"/>
    <w:rsid w:val="00795A72"/>
    <w:rsid w:val="00795DE1"/>
    <w:rsid w:val="007A043E"/>
    <w:rsid w:val="007A0480"/>
    <w:rsid w:val="007A05C0"/>
    <w:rsid w:val="007A07B2"/>
    <w:rsid w:val="007A0E6E"/>
    <w:rsid w:val="007A1773"/>
    <w:rsid w:val="007A1C0F"/>
    <w:rsid w:val="007A1D43"/>
    <w:rsid w:val="007A2260"/>
    <w:rsid w:val="007A294C"/>
    <w:rsid w:val="007A2B1D"/>
    <w:rsid w:val="007A3826"/>
    <w:rsid w:val="007A42CC"/>
    <w:rsid w:val="007A5385"/>
    <w:rsid w:val="007A53BB"/>
    <w:rsid w:val="007A5522"/>
    <w:rsid w:val="007A5CC7"/>
    <w:rsid w:val="007A6CAC"/>
    <w:rsid w:val="007A7556"/>
    <w:rsid w:val="007A75FB"/>
    <w:rsid w:val="007B09CA"/>
    <w:rsid w:val="007B0D8C"/>
    <w:rsid w:val="007B10AA"/>
    <w:rsid w:val="007B1775"/>
    <w:rsid w:val="007B1776"/>
    <w:rsid w:val="007B1A98"/>
    <w:rsid w:val="007B1DBE"/>
    <w:rsid w:val="007B2026"/>
    <w:rsid w:val="007B32D9"/>
    <w:rsid w:val="007B3B92"/>
    <w:rsid w:val="007B4174"/>
    <w:rsid w:val="007B42BE"/>
    <w:rsid w:val="007B4430"/>
    <w:rsid w:val="007B4BE7"/>
    <w:rsid w:val="007B4FB2"/>
    <w:rsid w:val="007B5DD3"/>
    <w:rsid w:val="007B6533"/>
    <w:rsid w:val="007B685F"/>
    <w:rsid w:val="007B76AD"/>
    <w:rsid w:val="007B7954"/>
    <w:rsid w:val="007B7C56"/>
    <w:rsid w:val="007C0027"/>
    <w:rsid w:val="007C084F"/>
    <w:rsid w:val="007C0C95"/>
    <w:rsid w:val="007C0F48"/>
    <w:rsid w:val="007C1998"/>
    <w:rsid w:val="007C1DFF"/>
    <w:rsid w:val="007C230D"/>
    <w:rsid w:val="007C2B15"/>
    <w:rsid w:val="007C31B4"/>
    <w:rsid w:val="007C333A"/>
    <w:rsid w:val="007C351B"/>
    <w:rsid w:val="007C374A"/>
    <w:rsid w:val="007C3951"/>
    <w:rsid w:val="007C3B42"/>
    <w:rsid w:val="007C3C97"/>
    <w:rsid w:val="007C3D74"/>
    <w:rsid w:val="007C4E5F"/>
    <w:rsid w:val="007C57F9"/>
    <w:rsid w:val="007C5A6E"/>
    <w:rsid w:val="007C5BCB"/>
    <w:rsid w:val="007C62FD"/>
    <w:rsid w:val="007C6BD9"/>
    <w:rsid w:val="007C7197"/>
    <w:rsid w:val="007C7499"/>
    <w:rsid w:val="007D0159"/>
    <w:rsid w:val="007D054C"/>
    <w:rsid w:val="007D0D81"/>
    <w:rsid w:val="007D0EC9"/>
    <w:rsid w:val="007D13E5"/>
    <w:rsid w:val="007D1A4E"/>
    <w:rsid w:val="007D1AD9"/>
    <w:rsid w:val="007D1BC4"/>
    <w:rsid w:val="007D1D0F"/>
    <w:rsid w:val="007D1E40"/>
    <w:rsid w:val="007D1FC7"/>
    <w:rsid w:val="007D2EA4"/>
    <w:rsid w:val="007D36E7"/>
    <w:rsid w:val="007D3B71"/>
    <w:rsid w:val="007D4072"/>
    <w:rsid w:val="007D46F1"/>
    <w:rsid w:val="007D5577"/>
    <w:rsid w:val="007D5691"/>
    <w:rsid w:val="007D57AF"/>
    <w:rsid w:val="007D6156"/>
    <w:rsid w:val="007D6B06"/>
    <w:rsid w:val="007D6B6F"/>
    <w:rsid w:val="007D7499"/>
    <w:rsid w:val="007D7673"/>
    <w:rsid w:val="007D7B61"/>
    <w:rsid w:val="007E07D3"/>
    <w:rsid w:val="007E1E82"/>
    <w:rsid w:val="007E2762"/>
    <w:rsid w:val="007E27B2"/>
    <w:rsid w:val="007E292B"/>
    <w:rsid w:val="007E29FD"/>
    <w:rsid w:val="007E2CD5"/>
    <w:rsid w:val="007E2D05"/>
    <w:rsid w:val="007E32D0"/>
    <w:rsid w:val="007E4B1F"/>
    <w:rsid w:val="007E5136"/>
    <w:rsid w:val="007E5C49"/>
    <w:rsid w:val="007E5CA6"/>
    <w:rsid w:val="007E6163"/>
    <w:rsid w:val="007E65F1"/>
    <w:rsid w:val="007E6A04"/>
    <w:rsid w:val="007F049E"/>
    <w:rsid w:val="007F0A65"/>
    <w:rsid w:val="007F21ED"/>
    <w:rsid w:val="007F261F"/>
    <w:rsid w:val="007F2BED"/>
    <w:rsid w:val="007F3020"/>
    <w:rsid w:val="007F302B"/>
    <w:rsid w:val="007F33E0"/>
    <w:rsid w:val="007F3672"/>
    <w:rsid w:val="007F45B5"/>
    <w:rsid w:val="007F6447"/>
    <w:rsid w:val="007F6B76"/>
    <w:rsid w:val="007F7884"/>
    <w:rsid w:val="007F7CE5"/>
    <w:rsid w:val="00800657"/>
    <w:rsid w:val="008008F6"/>
    <w:rsid w:val="008009E6"/>
    <w:rsid w:val="008013EC"/>
    <w:rsid w:val="00801E52"/>
    <w:rsid w:val="00802312"/>
    <w:rsid w:val="0080266E"/>
    <w:rsid w:val="00802D99"/>
    <w:rsid w:val="00803128"/>
    <w:rsid w:val="0080338C"/>
    <w:rsid w:val="008037F0"/>
    <w:rsid w:val="00803A91"/>
    <w:rsid w:val="0080403B"/>
    <w:rsid w:val="0080475B"/>
    <w:rsid w:val="00804FAC"/>
    <w:rsid w:val="00806134"/>
    <w:rsid w:val="00806BDE"/>
    <w:rsid w:val="00806F6B"/>
    <w:rsid w:val="0080784B"/>
    <w:rsid w:val="00807A5D"/>
    <w:rsid w:val="00807AF1"/>
    <w:rsid w:val="00807C16"/>
    <w:rsid w:val="00807E80"/>
    <w:rsid w:val="00810B18"/>
    <w:rsid w:val="00810C8D"/>
    <w:rsid w:val="0081137A"/>
    <w:rsid w:val="008127D1"/>
    <w:rsid w:val="00812ADB"/>
    <w:rsid w:val="0081397B"/>
    <w:rsid w:val="00814029"/>
    <w:rsid w:val="00814357"/>
    <w:rsid w:val="00814DAA"/>
    <w:rsid w:val="00815378"/>
    <w:rsid w:val="00815953"/>
    <w:rsid w:val="00815B8C"/>
    <w:rsid w:val="00815FB5"/>
    <w:rsid w:val="0081643F"/>
    <w:rsid w:val="008166DE"/>
    <w:rsid w:val="008168ED"/>
    <w:rsid w:val="00816974"/>
    <w:rsid w:val="008177CF"/>
    <w:rsid w:val="00817E0B"/>
    <w:rsid w:val="00817F47"/>
    <w:rsid w:val="0082087A"/>
    <w:rsid w:val="008209D1"/>
    <w:rsid w:val="008210AF"/>
    <w:rsid w:val="008214E2"/>
    <w:rsid w:val="008238B0"/>
    <w:rsid w:val="008238E3"/>
    <w:rsid w:val="00823BDC"/>
    <w:rsid w:val="00823D6E"/>
    <w:rsid w:val="00823FDD"/>
    <w:rsid w:val="008241AC"/>
    <w:rsid w:val="00825378"/>
    <w:rsid w:val="008256C4"/>
    <w:rsid w:val="008262B4"/>
    <w:rsid w:val="008263A2"/>
    <w:rsid w:val="00826A53"/>
    <w:rsid w:val="00827264"/>
    <w:rsid w:val="00830697"/>
    <w:rsid w:val="00830B67"/>
    <w:rsid w:val="00830FF2"/>
    <w:rsid w:val="00832716"/>
    <w:rsid w:val="00833B51"/>
    <w:rsid w:val="00833FDC"/>
    <w:rsid w:val="0083474A"/>
    <w:rsid w:val="00834A8E"/>
    <w:rsid w:val="008354B4"/>
    <w:rsid w:val="00835607"/>
    <w:rsid w:val="008356EB"/>
    <w:rsid w:val="00835977"/>
    <w:rsid w:val="00836098"/>
    <w:rsid w:val="0083632C"/>
    <w:rsid w:val="008365D6"/>
    <w:rsid w:val="008370F5"/>
    <w:rsid w:val="00837553"/>
    <w:rsid w:val="00837A14"/>
    <w:rsid w:val="00837C86"/>
    <w:rsid w:val="0084190A"/>
    <w:rsid w:val="008421F1"/>
    <w:rsid w:val="00842351"/>
    <w:rsid w:val="00842800"/>
    <w:rsid w:val="00842CD0"/>
    <w:rsid w:val="00842E39"/>
    <w:rsid w:val="00842FA8"/>
    <w:rsid w:val="00843FCE"/>
    <w:rsid w:val="00844598"/>
    <w:rsid w:val="00845ABB"/>
    <w:rsid w:val="00845E87"/>
    <w:rsid w:val="008468E2"/>
    <w:rsid w:val="00847613"/>
    <w:rsid w:val="00850809"/>
    <w:rsid w:val="0085185A"/>
    <w:rsid w:val="00851EB9"/>
    <w:rsid w:val="00852048"/>
    <w:rsid w:val="00852EAA"/>
    <w:rsid w:val="00853199"/>
    <w:rsid w:val="00853408"/>
    <w:rsid w:val="00853411"/>
    <w:rsid w:val="00853A1A"/>
    <w:rsid w:val="00853D97"/>
    <w:rsid w:val="00854CA1"/>
    <w:rsid w:val="00854E63"/>
    <w:rsid w:val="008558DC"/>
    <w:rsid w:val="00855A6A"/>
    <w:rsid w:val="00856747"/>
    <w:rsid w:val="008579DE"/>
    <w:rsid w:val="00860077"/>
    <w:rsid w:val="008604C9"/>
    <w:rsid w:val="00860DC9"/>
    <w:rsid w:val="0086136B"/>
    <w:rsid w:val="00862301"/>
    <w:rsid w:val="00863302"/>
    <w:rsid w:val="008638A1"/>
    <w:rsid w:val="00863A1F"/>
    <w:rsid w:val="008640A2"/>
    <w:rsid w:val="00864443"/>
    <w:rsid w:val="0086480E"/>
    <w:rsid w:val="008649CD"/>
    <w:rsid w:val="00865C57"/>
    <w:rsid w:val="00865FFC"/>
    <w:rsid w:val="008669CB"/>
    <w:rsid w:val="0086717D"/>
    <w:rsid w:val="008678AC"/>
    <w:rsid w:val="008679D0"/>
    <w:rsid w:val="00867C6E"/>
    <w:rsid w:val="00867E15"/>
    <w:rsid w:val="0087033F"/>
    <w:rsid w:val="00870665"/>
    <w:rsid w:val="00870754"/>
    <w:rsid w:val="00870AED"/>
    <w:rsid w:val="008711ED"/>
    <w:rsid w:val="00871624"/>
    <w:rsid w:val="00872700"/>
    <w:rsid w:val="00874EB5"/>
    <w:rsid w:val="00875048"/>
    <w:rsid w:val="0087563C"/>
    <w:rsid w:val="00875814"/>
    <w:rsid w:val="00875A78"/>
    <w:rsid w:val="0087648F"/>
    <w:rsid w:val="0087664A"/>
    <w:rsid w:val="008769D6"/>
    <w:rsid w:val="00876AB5"/>
    <w:rsid w:val="00876AF8"/>
    <w:rsid w:val="0087749F"/>
    <w:rsid w:val="008778C2"/>
    <w:rsid w:val="00877966"/>
    <w:rsid w:val="00877A86"/>
    <w:rsid w:val="00877D67"/>
    <w:rsid w:val="008807BD"/>
    <w:rsid w:val="00880E80"/>
    <w:rsid w:val="008815E4"/>
    <w:rsid w:val="00881615"/>
    <w:rsid w:val="0088204B"/>
    <w:rsid w:val="00882529"/>
    <w:rsid w:val="0088319A"/>
    <w:rsid w:val="008836C0"/>
    <w:rsid w:val="008837FF"/>
    <w:rsid w:val="00883C65"/>
    <w:rsid w:val="008843E3"/>
    <w:rsid w:val="0088447A"/>
    <w:rsid w:val="00884D25"/>
    <w:rsid w:val="00885085"/>
    <w:rsid w:val="008859E3"/>
    <w:rsid w:val="00885C62"/>
    <w:rsid w:val="0088675B"/>
    <w:rsid w:val="0088706B"/>
    <w:rsid w:val="00887A1D"/>
    <w:rsid w:val="008901E2"/>
    <w:rsid w:val="00890314"/>
    <w:rsid w:val="0089039C"/>
    <w:rsid w:val="0089071B"/>
    <w:rsid w:val="00891968"/>
    <w:rsid w:val="008919F8"/>
    <w:rsid w:val="00891D9D"/>
    <w:rsid w:val="00892E73"/>
    <w:rsid w:val="00893873"/>
    <w:rsid w:val="00893918"/>
    <w:rsid w:val="00894384"/>
    <w:rsid w:val="008959A6"/>
    <w:rsid w:val="00895DC9"/>
    <w:rsid w:val="008967D5"/>
    <w:rsid w:val="0089707B"/>
    <w:rsid w:val="008A0357"/>
    <w:rsid w:val="008A04A6"/>
    <w:rsid w:val="008A06E3"/>
    <w:rsid w:val="008A09CA"/>
    <w:rsid w:val="008A1422"/>
    <w:rsid w:val="008A1579"/>
    <w:rsid w:val="008A1608"/>
    <w:rsid w:val="008A17A8"/>
    <w:rsid w:val="008A2161"/>
    <w:rsid w:val="008A240B"/>
    <w:rsid w:val="008A2AA2"/>
    <w:rsid w:val="008A414D"/>
    <w:rsid w:val="008A4750"/>
    <w:rsid w:val="008A5B6B"/>
    <w:rsid w:val="008A6251"/>
    <w:rsid w:val="008A657B"/>
    <w:rsid w:val="008A7F0B"/>
    <w:rsid w:val="008B05A2"/>
    <w:rsid w:val="008B14DB"/>
    <w:rsid w:val="008B14DF"/>
    <w:rsid w:val="008B1A84"/>
    <w:rsid w:val="008B1DD3"/>
    <w:rsid w:val="008B2C36"/>
    <w:rsid w:val="008B2CD4"/>
    <w:rsid w:val="008B3CD3"/>
    <w:rsid w:val="008B42A5"/>
    <w:rsid w:val="008B44C1"/>
    <w:rsid w:val="008B4B8C"/>
    <w:rsid w:val="008B51E2"/>
    <w:rsid w:val="008B5CCF"/>
    <w:rsid w:val="008B6354"/>
    <w:rsid w:val="008B68A5"/>
    <w:rsid w:val="008B7A37"/>
    <w:rsid w:val="008B7DBD"/>
    <w:rsid w:val="008C049E"/>
    <w:rsid w:val="008C16EF"/>
    <w:rsid w:val="008C17AB"/>
    <w:rsid w:val="008C20C5"/>
    <w:rsid w:val="008C24A6"/>
    <w:rsid w:val="008C3413"/>
    <w:rsid w:val="008C367D"/>
    <w:rsid w:val="008C3D2B"/>
    <w:rsid w:val="008C3D70"/>
    <w:rsid w:val="008C3E59"/>
    <w:rsid w:val="008C4C7B"/>
    <w:rsid w:val="008C53DB"/>
    <w:rsid w:val="008C568D"/>
    <w:rsid w:val="008C5E01"/>
    <w:rsid w:val="008C6C08"/>
    <w:rsid w:val="008C6C65"/>
    <w:rsid w:val="008C7033"/>
    <w:rsid w:val="008C71E7"/>
    <w:rsid w:val="008C72B7"/>
    <w:rsid w:val="008C76B3"/>
    <w:rsid w:val="008C7EA0"/>
    <w:rsid w:val="008D01C8"/>
    <w:rsid w:val="008D0689"/>
    <w:rsid w:val="008D0C28"/>
    <w:rsid w:val="008D0C46"/>
    <w:rsid w:val="008D0F59"/>
    <w:rsid w:val="008D1473"/>
    <w:rsid w:val="008D14D2"/>
    <w:rsid w:val="008D1986"/>
    <w:rsid w:val="008D280C"/>
    <w:rsid w:val="008D2958"/>
    <w:rsid w:val="008D2A6A"/>
    <w:rsid w:val="008D2EC8"/>
    <w:rsid w:val="008D3143"/>
    <w:rsid w:val="008D3556"/>
    <w:rsid w:val="008D3A2F"/>
    <w:rsid w:val="008D3FB2"/>
    <w:rsid w:val="008D4082"/>
    <w:rsid w:val="008D4337"/>
    <w:rsid w:val="008D4941"/>
    <w:rsid w:val="008D4DF6"/>
    <w:rsid w:val="008D5D18"/>
    <w:rsid w:val="008D5D5E"/>
    <w:rsid w:val="008D5FBD"/>
    <w:rsid w:val="008D6058"/>
    <w:rsid w:val="008D64FE"/>
    <w:rsid w:val="008D6A3C"/>
    <w:rsid w:val="008D6BDB"/>
    <w:rsid w:val="008D7C76"/>
    <w:rsid w:val="008D7DE7"/>
    <w:rsid w:val="008E0214"/>
    <w:rsid w:val="008E05D8"/>
    <w:rsid w:val="008E0B41"/>
    <w:rsid w:val="008E0FD6"/>
    <w:rsid w:val="008E100D"/>
    <w:rsid w:val="008E109E"/>
    <w:rsid w:val="008E1947"/>
    <w:rsid w:val="008E1F41"/>
    <w:rsid w:val="008E2041"/>
    <w:rsid w:val="008E2361"/>
    <w:rsid w:val="008E2C7A"/>
    <w:rsid w:val="008E34B5"/>
    <w:rsid w:val="008E3A68"/>
    <w:rsid w:val="008E4505"/>
    <w:rsid w:val="008E4B2B"/>
    <w:rsid w:val="008E509E"/>
    <w:rsid w:val="008E5224"/>
    <w:rsid w:val="008E5356"/>
    <w:rsid w:val="008E539F"/>
    <w:rsid w:val="008E549A"/>
    <w:rsid w:val="008E59B2"/>
    <w:rsid w:val="008E59B7"/>
    <w:rsid w:val="008E6106"/>
    <w:rsid w:val="008E6454"/>
    <w:rsid w:val="008E7989"/>
    <w:rsid w:val="008E7A71"/>
    <w:rsid w:val="008E7B46"/>
    <w:rsid w:val="008F0440"/>
    <w:rsid w:val="008F0620"/>
    <w:rsid w:val="008F069C"/>
    <w:rsid w:val="008F0F21"/>
    <w:rsid w:val="008F0FCE"/>
    <w:rsid w:val="008F1803"/>
    <w:rsid w:val="008F189E"/>
    <w:rsid w:val="008F1A04"/>
    <w:rsid w:val="008F1B71"/>
    <w:rsid w:val="008F1E5D"/>
    <w:rsid w:val="008F28A0"/>
    <w:rsid w:val="008F3131"/>
    <w:rsid w:val="008F34BC"/>
    <w:rsid w:val="008F4B05"/>
    <w:rsid w:val="008F5D91"/>
    <w:rsid w:val="008F77A6"/>
    <w:rsid w:val="008F7E23"/>
    <w:rsid w:val="00900760"/>
    <w:rsid w:val="00901CAD"/>
    <w:rsid w:val="00901FEF"/>
    <w:rsid w:val="009025C4"/>
    <w:rsid w:val="009027B0"/>
    <w:rsid w:val="009032AE"/>
    <w:rsid w:val="00903372"/>
    <w:rsid w:val="009033B0"/>
    <w:rsid w:val="00903E58"/>
    <w:rsid w:val="00904744"/>
    <w:rsid w:val="0090628C"/>
    <w:rsid w:val="00906373"/>
    <w:rsid w:val="009072E2"/>
    <w:rsid w:val="00910238"/>
    <w:rsid w:val="00910380"/>
    <w:rsid w:val="00910B99"/>
    <w:rsid w:val="009111B0"/>
    <w:rsid w:val="009117F1"/>
    <w:rsid w:val="00912F9A"/>
    <w:rsid w:val="00913898"/>
    <w:rsid w:val="00914581"/>
    <w:rsid w:val="00915FD9"/>
    <w:rsid w:val="0091666E"/>
    <w:rsid w:val="00917DFD"/>
    <w:rsid w:val="00917E83"/>
    <w:rsid w:val="00917F2B"/>
    <w:rsid w:val="00920432"/>
    <w:rsid w:val="00920C6F"/>
    <w:rsid w:val="00920CD6"/>
    <w:rsid w:val="00921CEB"/>
    <w:rsid w:val="00921EB4"/>
    <w:rsid w:val="00922416"/>
    <w:rsid w:val="0092263C"/>
    <w:rsid w:val="009236EA"/>
    <w:rsid w:val="00923ACD"/>
    <w:rsid w:val="00924B58"/>
    <w:rsid w:val="00925E55"/>
    <w:rsid w:val="00925F8C"/>
    <w:rsid w:val="009262AC"/>
    <w:rsid w:val="00926BDA"/>
    <w:rsid w:val="00926FAF"/>
    <w:rsid w:val="009274F6"/>
    <w:rsid w:val="00927C54"/>
    <w:rsid w:val="0093007D"/>
    <w:rsid w:val="00930267"/>
    <w:rsid w:val="00930868"/>
    <w:rsid w:val="009314B2"/>
    <w:rsid w:val="0093371A"/>
    <w:rsid w:val="009342B5"/>
    <w:rsid w:val="009347F5"/>
    <w:rsid w:val="00935223"/>
    <w:rsid w:val="00935352"/>
    <w:rsid w:val="009368B7"/>
    <w:rsid w:val="00937785"/>
    <w:rsid w:val="0094010F"/>
    <w:rsid w:val="00940724"/>
    <w:rsid w:val="00940E7D"/>
    <w:rsid w:val="0094135B"/>
    <w:rsid w:val="00941869"/>
    <w:rsid w:val="00941EB5"/>
    <w:rsid w:val="00942707"/>
    <w:rsid w:val="00942E1D"/>
    <w:rsid w:val="00942F5D"/>
    <w:rsid w:val="00944540"/>
    <w:rsid w:val="00944761"/>
    <w:rsid w:val="00944891"/>
    <w:rsid w:val="00945490"/>
    <w:rsid w:val="009458F2"/>
    <w:rsid w:val="009471E6"/>
    <w:rsid w:val="009478C2"/>
    <w:rsid w:val="00947D94"/>
    <w:rsid w:val="00947D95"/>
    <w:rsid w:val="009508F6"/>
    <w:rsid w:val="009509F3"/>
    <w:rsid w:val="00950B26"/>
    <w:rsid w:val="00951312"/>
    <w:rsid w:val="009513CE"/>
    <w:rsid w:val="00951491"/>
    <w:rsid w:val="009514F7"/>
    <w:rsid w:val="0095160F"/>
    <w:rsid w:val="009521AE"/>
    <w:rsid w:val="00953280"/>
    <w:rsid w:val="009536BE"/>
    <w:rsid w:val="00953977"/>
    <w:rsid w:val="00953A33"/>
    <w:rsid w:val="009540E5"/>
    <w:rsid w:val="0095422E"/>
    <w:rsid w:val="009545DF"/>
    <w:rsid w:val="00954BE7"/>
    <w:rsid w:val="00954E15"/>
    <w:rsid w:val="00954E8D"/>
    <w:rsid w:val="0095579F"/>
    <w:rsid w:val="009562F9"/>
    <w:rsid w:val="00956339"/>
    <w:rsid w:val="009563A2"/>
    <w:rsid w:val="009572B0"/>
    <w:rsid w:val="00960544"/>
    <w:rsid w:val="00960740"/>
    <w:rsid w:val="009607DD"/>
    <w:rsid w:val="009608D1"/>
    <w:rsid w:val="00960D13"/>
    <w:rsid w:val="00961831"/>
    <w:rsid w:val="00962022"/>
    <w:rsid w:val="009635BE"/>
    <w:rsid w:val="00963764"/>
    <w:rsid w:val="00963A7E"/>
    <w:rsid w:val="0096445F"/>
    <w:rsid w:val="009651D4"/>
    <w:rsid w:val="009652DD"/>
    <w:rsid w:val="009657F8"/>
    <w:rsid w:val="00966400"/>
    <w:rsid w:val="00966DB0"/>
    <w:rsid w:val="009673F2"/>
    <w:rsid w:val="00967472"/>
    <w:rsid w:val="009674AF"/>
    <w:rsid w:val="009679E4"/>
    <w:rsid w:val="0097003C"/>
    <w:rsid w:val="009707C9"/>
    <w:rsid w:val="0097082A"/>
    <w:rsid w:val="009712A9"/>
    <w:rsid w:val="0097161F"/>
    <w:rsid w:val="00971698"/>
    <w:rsid w:val="009722EA"/>
    <w:rsid w:val="00972677"/>
    <w:rsid w:val="00972A2A"/>
    <w:rsid w:val="00972FA9"/>
    <w:rsid w:val="00973251"/>
    <w:rsid w:val="0097442C"/>
    <w:rsid w:val="0097506C"/>
    <w:rsid w:val="009755AC"/>
    <w:rsid w:val="00975A63"/>
    <w:rsid w:val="0097679B"/>
    <w:rsid w:val="00976A69"/>
    <w:rsid w:val="00977410"/>
    <w:rsid w:val="00977833"/>
    <w:rsid w:val="00977FF7"/>
    <w:rsid w:val="009805CB"/>
    <w:rsid w:val="00980AC0"/>
    <w:rsid w:val="00981B04"/>
    <w:rsid w:val="00982D55"/>
    <w:rsid w:val="00983230"/>
    <w:rsid w:val="009839EE"/>
    <w:rsid w:val="00983C4B"/>
    <w:rsid w:val="00983C57"/>
    <w:rsid w:val="00984EB3"/>
    <w:rsid w:val="00985812"/>
    <w:rsid w:val="00985E30"/>
    <w:rsid w:val="009872F1"/>
    <w:rsid w:val="009874D5"/>
    <w:rsid w:val="009909DC"/>
    <w:rsid w:val="00990CDB"/>
    <w:rsid w:val="00990E59"/>
    <w:rsid w:val="00992148"/>
    <w:rsid w:val="009922A8"/>
    <w:rsid w:val="0099230B"/>
    <w:rsid w:val="009926BE"/>
    <w:rsid w:val="00993DB9"/>
    <w:rsid w:val="00994376"/>
    <w:rsid w:val="00994644"/>
    <w:rsid w:val="00994BB2"/>
    <w:rsid w:val="00994C47"/>
    <w:rsid w:val="0099530C"/>
    <w:rsid w:val="00996F9B"/>
    <w:rsid w:val="00997377"/>
    <w:rsid w:val="00997988"/>
    <w:rsid w:val="00997EFC"/>
    <w:rsid w:val="009A01B8"/>
    <w:rsid w:val="009A0421"/>
    <w:rsid w:val="009A0765"/>
    <w:rsid w:val="009A1684"/>
    <w:rsid w:val="009A1C26"/>
    <w:rsid w:val="009A21CD"/>
    <w:rsid w:val="009A24F6"/>
    <w:rsid w:val="009A24FE"/>
    <w:rsid w:val="009A2D7C"/>
    <w:rsid w:val="009A3AE3"/>
    <w:rsid w:val="009A3D08"/>
    <w:rsid w:val="009A4057"/>
    <w:rsid w:val="009A4199"/>
    <w:rsid w:val="009A4EB4"/>
    <w:rsid w:val="009A5126"/>
    <w:rsid w:val="009A51D5"/>
    <w:rsid w:val="009A5869"/>
    <w:rsid w:val="009A5D4F"/>
    <w:rsid w:val="009A708D"/>
    <w:rsid w:val="009A773D"/>
    <w:rsid w:val="009A7956"/>
    <w:rsid w:val="009A7F28"/>
    <w:rsid w:val="009A7F45"/>
    <w:rsid w:val="009B037F"/>
    <w:rsid w:val="009B063A"/>
    <w:rsid w:val="009B0676"/>
    <w:rsid w:val="009B070C"/>
    <w:rsid w:val="009B0E66"/>
    <w:rsid w:val="009B1834"/>
    <w:rsid w:val="009B1CFE"/>
    <w:rsid w:val="009B20BE"/>
    <w:rsid w:val="009B22F1"/>
    <w:rsid w:val="009B2B7C"/>
    <w:rsid w:val="009B32D7"/>
    <w:rsid w:val="009B417A"/>
    <w:rsid w:val="009B45A7"/>
    <w:rsid w:val="009B481D"/>
    <w:rsid w:val="009B4AEA"/>
    <w:rsid w:val="009B5A21"/>
    <w:rsid w:val="009B638A"/>
    <w:rsid w:val="009B67AF"/>
    <w:rsid w:val="009B713E"/>
    <w:rsid w:val="009C039C"/>
    <w:rsid w:val="009C06DE"/>
    <w:rsid w:val="009C07B3"/>
    <w:rsid w:val="009C080A"/>
    <w:rsid w:val="009C0C56"/>
    <w:rsid w:val="009C103E"/>
    <w:rsid w:val="009C1FB0"/>
    <w:rsid w:val="009C2C24"/>
    <w:rsid w:val="009C3832"/>
    <w:rsid w:val="009C3DBD"/>
    <w:rsid w:val="009C401C"/>
    <w:rsid w:val="009C438A"/>
    <w:rsid w:val="009C5172"/>
    <w:rsid w:val="009C5664"/>
    <w:rsid w:val="009C5D81"/>
    <w:rsid w:val="009C6700"/>
    <w:rsid w:val="009C69ED"/>
    <w:rsid w:val="009C7D5A"/>
    <w:rsid w:val="009D1978"/>
    <w:rsid w:val="009D29F3"/>
    <w:rsid w:val="009D3833"/>
    <w:rsid w:val="009D417B"/>
    <w:rsid w:val="009D4928"/>
    <w:rsid w:val="009D4F51"/>
    <w:rsid w:val="009D5790"/>
    <w:rsid w:val="009D5916"/>
    <w:rsid w:val="009D5E4C"/>
    <w:rsid w:val="009D6603"/>
    <w:rsid w:val="009D6613"/>
    <w:rsid w:val="009D6989"/>
    <w:rsid w:val="009D6E0F"/>
    <w:rsid w:val="009D7890"/>
    <w:rsid w:val="009D7D21"/>
    <w:rsid w:val="009D7F74"/>
    <w:rsid w:val="009E09CF"/>
    <w:rsid w:val="009E0AE3"/>
    <w:rsid w:val="009E0C09"/>
    <w:rsid w:val="009E1089"/>
    <w:rsid w:val="009E1381"/>
    <w:rsid w:val="009E1B15"/>
    <w:rsid w:val="009E1BC6"/>
    <w:rsid w:val="009E1F69"/>
    <w:rsid w:val="009E2204"/>
    <w:rsid w:val="009E227B"/>
    <w:rsid w:val="009E2610"/>
    <w:rsid w:val="009E3932"/>
    <w:rsid w:val="009E3A0B"/>
    <w:rsid w:val="009E3B99"/>
    <w:rsid w:val="009E4150"/>
    <w:rsid w:val="009E43E5"/>
    <w:rsid w:val="009E494F"/>
    <w:rsid w:val="009E5545"/>
    <w:rsid w:val="009E6DD8"/>
    <w:rsid w:val="009E70A6"/>
    <w:rsid w:val="009E7AA6"/>
    <w:rsid w:val="009F02CE"/>
    <w:rsid w:val="009F0391"/>
    <w:rsid w:val="009F0D19"/>
    <w:rsid w:val="009F12D1"/>
    <w:rsid w:val="009F15ED"/>
    <w:rsid w:val="009F37D4"/>
    <w:rsid w:val="009F486B"/>
    <w:rsid w:val="009F49E4"/>
    <w:rsid w:val="009F4D18"/>
    <w:rsid w:val="009F50E8"/>
    <w:rsid w:val="009F6B08"/>
    <w:rsid w:val="009F6E99"/>
    <w:rsid w:val="009F714D"/>
    <w:rsid w:val="009F7170"/>
    <w:rsid w:val="009F79E8"/>
    <w:rsid w:val="009F7D6A"/>
    <w:rsid w:val="009F7F22"/>
    <w:rsid w:val="009F7FAC"/>
    <w:rsid w:val="00A01B6B"/>
    <w:rsid w:val="00A02209"/>
    <w:rsid w:val="00A02D5E"/>
    <w:rsid w:val="00A0360B"/>
    <w:rsid w:val="00A039BF"/>
    <w:rsid w:val="00A03D1C"/>
    <w:rsid w:val="00A04778"/>
    <w:rsid w:val="00A04782"/>
    <w:rsid w:val="00A04FD6"/>
    <w:rsid w:val="00A05227"/>
    <w:rsid w:val="00A05873"/>
    <w:rsid w:val="00A05E31"/>
    <w:rsid w:val="00A06006"/>
    <w:rsid w:val="00A068CC"/>
    <w:rsid w:val="00A06B49"/>
    <w:rsid w:val="00A078FE"/>
    <w:rsid w:val="00A07F2D"/>
    <w:rsid w:val="00A10030"/>
    <w:rsid w:val="00A100A7"/>
    <w:rsid w:val="00A107F5"/>
    <w:rsid w:val="00A10CBD"/>
    <w:rsid w:val="00A10E61"/>
    <w:rsid w:val="00A10E82"/>
    <w:rsid w:val="00A113EC"/>
    <w:rsid w:val="00A11745"/>
    <w:rsid w:val="00A12335"/>
    <w:rsid w:val="00A12818"/>
    <w:rsid w:val="00A12F8F"/>
    <w:rsid w:val="00A1319E"/>
    <w:rsid w:val="00A13894"/>
    <w:rsid w:val="00A13BCE"/>
    <w:rsid w:val="00A14EA7"/>
    <w:rsid w:val="00A1503E"/>
    <w:rsid w:val="00A1652A"/>
    <w:rsid w:val="00A1652C"/>
    <w:rsid w:val="00A16873"/>
    <w:rsid w:val="00A16E91"/>
    <w:rsid w:val="00A17BCD"/>
    <w:rsid w:val="00A17E2F"/>
    <w:rsid w:val="00A2005F"/>
    <w:rsid w:val="00A20106"/>
    <w:rsid w:val="00A203D4"/>
    <w:rsid w:val="00A204EA"/>
    <w:rsid w:val="00A2125A"/>
    <w:rsid w:val="00A21F1D"/>
    <w:rsid w:val="00A21F6F"/>
    <w:rsid w:val="00A223AA"/>
    <w:rsid w:val="00A22FFD"/>
    <w:rsid w:val="00A23BF5"/>
    <w:rsid w:val="00A23D7D"/>
    <w:rsid w:val="00A2493E"/>
    <w:rsid w:val="00A24AB4"/>
    <w:rsid w:val="00A250BB"/>
    <w:rsid w:val="00A2566A"/>
    <w:rsid w:val="00A25C3C"/>
    <w:rsid w:val="00A26A4E"/>
    <w:rsid w:val="00A26C3C"/>
    <w:rsid w:val="00A2793F"/>
    <w:rsid w:val="00A27D91"/>
    <w:rsid w:val="00A30200"/>
    <w:rsid w:val="00A3084D"/>
    <w:rsid w:val="00A30EF6"/>
    <w:rsid w:val="00A30EFE"/>
    <w:rsid w:val="00A3165B"/>
    <w:rsid w:val="00A31677"/>
    <w:rsid w:val="00A317EA"/>
    <w:rsid w:val="00A31F6F"/>
    <w:rsid w:val="00A32680"/>
    <w:rsid w:val="00A332D1"/>
    <w:rsid w:val="00A33615"/>
    <w:rsid w:val="00A33F2D"/>
    <w:rsid w:val="00A33F47"/>
    <w:rsid w:val="00A342EF"/>
    <w:rsid w:val="00A347D3"/>
    <w:rsid w:val="00A34F1F"/>
    <w:rsid w:val="00A35058"/>
    <w:rsid w:val="00A356C9"/>
    <w:rsid w:val="00A35CD4"/>
    <w:rsid w:val="00A36682"/>
    <w:rsid w:val="00A36C71"/>
    <w:rsid w:val="00A3726A"/>
    <w:rsid w:val="00A37FC2"/>
    <w:rsid w:val="00A40391"/>
    <w:rsid w:val="00A40F35"/>
    <w:rsid w:val="00A41BC9"/>
    <w:rsid w:val="00A42CD0"/>
    <w:rsid w:val="00A43977"/>
    <w:rsid w:val="00A445A5"/>
    <w:rsid w:val="00A4465C"/>
    <w:rsid w:val="00A44959"/>
    <w:rsid w:val="00A44B17"/>
    <w:rsid w:val="00A453D8"/>
    <w:rsid w:val="00A45638"/>
    <w:rsid w:val="00A45D3A"/>
    <w:rsid w:val="00A4627D"/>
    <w:rsid w:val="00A466F1"/>
    <w:rsid w:val="00A46BE7"/>
    <w:rsid w:val="00A50282"/>
    <w:rsid w:val="00A50556"/>
    <w:rsid w:val="00A513B1"/>
    <w:rsid w:val="00A51E5A"/>
    <w:rsid w:val="00A51FED"/>
    <w:rsid w:val="00A52EB0"/>
    <w:rsid w:val="00A5307E"/>
    <w:rsid w:val="00A5337D"/>
    <w:rsid w:val="00A5346E"/>
    <w:rsid w:val="00A53A85"/>
    <w:rsid w:val="00A53B70"/>
    <w:rsid w:val="00A541D3"/>
    <w:rsid w:val="00A56365"/>
    <w:rsid w:val="00A56BFE"/>
    <w:rsid w:val="00A5765B"/>
    <w:rsid w:val="00A57775"/>
    <w:rsid w:val="00A606F4"/>
    <w:rsid w:val="00A60B06"/>
    <w:rsid w:val="00A60BEC"/>
    <w:rsid w:val="00A614B4"/>
    <w:rsid w:val="00A61A16"/>
    <w:rsid w:val="00A61BA9"/>
    <w:rsid w:val="00A61F86"/>
    <w:rsid w:val="00A61FE5"/>
    <w:rsid w:val="00A623A5"/>
    <w:rsid w:val="00A62789"/>
    <w:rsid w:val="00A63B46"/>
    <w:rsid w:val="00A644CA"/>
    <w:rsid w:val="00A6511C"/>
    <w:rsid w:val="00A6539A"/>
    <w:rsid w:val="00A654CC"/>
    <w:rsid w:val="00A6598E"/>
    <w:rsid w:val="00A6634D"/>
    <w:rsid w:val="00A66CEC"/>
    <w:rsid w:val="00A67D52"/>
    <w:rsid w:val="00A707CA"/>
    <w:rsid w:val="00A70A77"/>
    <w:rsid w:val="00A716A5"/>
    <w:rsid w:val="00A71CB4"/>
    <w:rsid w:val="00A71FFD"/>
    <w:rsid w:val="00A72672"/>
    <w:rsid w:val="00A72C31"/>
    <w:rsid w:val="00A72CC9"/>
    <w:rsid w:val="00A732E8"/>
    <w:rsid w:val="00A737E9"/>
    <w:rsid w:val="00A74A14"/>
    <w:rsid w:val="00A7665C"/>
    <w:rsid w:val="00A76738"/>
    <w:rsid w:val="00A76EF2"/>
    <w:rsid w:val="00A773E4"/>
    <w:rsid w:val="00A77534"/>
    <w:rsid w:val="00A778BA"/>
    <w:rsid w:val="00A77B13"/>
    <w:rsid w:val="00A80099"/>
    <w:rsid w:val="00A809D8"/>
    <w:rsid w:val="00A82E85"/>
    <w:rsid w:val="00A83053"/>
    <w:rsid w:val="00A8313A"/>
    <w:rsid w:val="00A837AA"/>
    <w:rsid w:val="00A84A69"/>
    <w:rsid w:val="00A84CBF"/>
    <w:rsid w:val="00A84EFC"/>
    <w:rsid w:val="00A861B6"/>
    <w:rsid w:val="00A861C1"/>
    <w:rsid w:val="00A86262"/>
    <w:rsid w:val="00A8792E"/>
    <w:rsid w:val="00A87E0D"/>
    <w:rsid w:val="00A901D7"/>
    <w:rsid w:val="00A902F9"/>
    <w:rsid w:val="00A9085C"/>
    <w:rsid w:val="00A916FF"/>
    <w:rsid w:val="00A91882"/>
    <w:rsid w:val="00A92234"/>
    <w:rsid w:val="00A9345A"/>
    <w:rsid w:val="00A93DF3"/>
    <w:rsid w:val="00A94846"/>
    <w:rsid w:val="00A952AC"/>
    <w:rsid w:val="00A95783"/>
    <w:rsid w:val="00A95BE2"/>
    <w:rsid w:val="00A95C37"/>
    <w:rsid w:val="00A97197"/>
    <w:rsid w:val="00A9785A"/>
    <w:rsid w:val="00A97AB1"/>
    <w:rsid w:val="00A97E76"/>
    <w:rsid w:val="00AA06E2"/>
    <w:rsid w:val="00AA0843"/>
    <w:rsid w:val="00AA15FE"/>
    <w:rsid w:val="00AA171F"/>
    <w:rsid w:val="00AA185B"/>
    <w:rsid w:val="00AA221B"/>
    <w:rsid w:val="00AA27BE"/>
    <w:rsid w:val="00AA3DFB"/>
    <w:rsid w:val="00AA3E50"/>
    <w:rsid w:val="00AA4223"/>
    <w:rsid w:val="00AA4346"/>
    <w:rsid w:val="00AA443A"/>
    <w:rsid w:val="00AA44AD"/>
    <w:rsid w:val="00AA4CA5"/>
    <w:rsid w:val="00AA4CC2"/>
    <w:rsid w:val="00AA4CC3"/>
    <w:rsid w:val="00AA5566"/>
    <w:rsid w:val="00AA6FF1"/>
    <w:rsid w:val="00AA7220"/>
    <w:rsid w:val="00AA76A1"/>
    <w:rsid w:val="00AB037D"/>
    <w:rsid w:val="00AB0638"/>
    <w:rsid w:val="00AB0A7C"/>
    <w:rsid w:val="00AB19D8"/>
    <w:rsid w:val="00AB1B51"/>
    <w:rsid w:val="00AB1DF1"/>
    <w:rsid w:val="00AB1E77"/>
    <w:rsid w:val="00AB2BD3"/>
    <w:rsid w:val="00AB2D09"/>
    <w:rsid w:val="00AB3047"/>
    <w:rsid w:val="00AB401A"/>
    <w:rsid w:val="00AB5447"/>
    <w:rsid w:val="00AB6456"/>
    <w:rsid w:val="00AB647B"/>
    <w:rsid w:val="00AB66D9"/>
    <w:rsid w:val="00AB76E4"/>
    <w:rsid w:val="00AB7B44"/>
    <w:rsid w:val="00AC01D7"/>
    <w:rsid w:val="00AC0E71"/>
    <w:rsid w:val="00AC1513"/>
    <w:rsid w:val="00AC2205"/>
    <w:rsid w:val="00AC2317"/>
    <w:rsid w:val="00AC29DD"/>
    <w:rsid w:val="00AC2DB8"/>
    <w:rsid w:val="00AC31CD"/>
    <w:rsid w:val="00AC329C"/>
    <w:rsid w:val="00AC3EBA"/>
    <w:rsid w:val="00AC4373"/>
    <w:rsid w:val="00AC481D"/>
    <w:rsid w:val="00AC4845"/>
    <w:rsid w:val="00AC498C"/>
    <w:rsid w:val="00AC4BA0"/>
    <w:rsid w:val="00AC4D11"/>
    <w:rsid w:val="00AC56DC"/>
    <w:rsid w:val="00AC5DE1"/>
    <w:rsid w:val="00AC5FC6"/>
    <w:rsid w:val="00AC6DBC"/>
    <w:rsid w:val="00AD009D"/>
    <w:rsid w:val="00AD02C2"/>
    <w:rsid w:val="00AD0A6E"/>
    <w:rsid w:val="00AD0EFC"/>
    <w:rsid w:val="00AD16C5"/>
    <w:rsid w:val="00AD1776"/>
    <w:rsid w:val="00AD1E8E"/>
    <w:rsid w:val="00AD235F"/>
    <w:rsid w:val="00AD240F"/>
    <w:rsid w:val="00AD24A5"/>
    <w:rsid w:val="00AD2AC1"/>
    <w:rsid w:val="00AD2BC5"/>
    <w:rsid w:val="00AD2FAD"/>
    <w:rsid w:val="00AD3216"/>
    <w:rsid w:val="00AD3700"/>
    <w:rsid w:val="00AD4031"/>
    <w:rsid w:val="00AD4151"/>
    <w:rsid w:val="00AD48C1"/>
    <w:rsid w:val="00AD48E8"/>
    <w:rsid w:val="00AD4A2B"/>
    <w:rsid w:val="00AD4AE4"/>
    <w:rsid w:val="00AD5390"/>
    <w:rsid w:val="00AD5874"/>
    <w:rsid w:val="00AD5B6E"/>
    <w:rsid w:val="00AD66A8"/>
    <w:rsid w:val="00AD6D6E"/>
    <w:rsid w:val="00AD7069"/>
    <w:rsid w:val="00AD7EC1"/>
    <w:rsid w:val="00AE02F6"/>
    <w:rsid w:val="00AE0BBB"/>
    <w:rsid w:val="00AE13C5"/>
    <w:rsid w:val="00AE14EA"/>
    <w:rsid w:val="00AE1E00"/>
    <w:rsid w:val="00AE1F1F"/>
    <w:rsid w:val="00AE3561"/>
    <w:rsid w:val="00AE35A1"/>
    <w:rsid w:val="00AE3CF5"/>
    <w:rsid w:val="00AE3FCE"/>
    <w:rsid w:val="00AE42A7"/>
    <w:rsid w:val="00AE5525"/>
    <w:rsid w:val="00AE5715"/>
    <w:rsid w:val="00AE6BF1"/>
    <w:rsid w:val="00AE7467"/>
    <w:rsid w:val="00AE74E4"/>
    <w:rsid w:val="00AE773F"/>
    <w:rsid w:val="00AE7D57"/>
    <w:rsid w:val="00AF087F"/>
    <w:rsid w:val="00AF08A0"/>
    <w:rsid w:val="00AF1172"/>
    <w:rsid w:val="00AF11D4"/>
    <w:rsid w:val="00AF2576"/>
    <w:rsid w:val="00AF29CD"/>
    <w:rsid w:val="00AF3B2A"/>
    <w:rsid w:val="00AF5C62"/>
    <w:rsid w:val="00AF6832"/>
    <w:rsid w:val="00AF6E07"/>
    <w:rsid w:val="00AF6F45"/>
    <w:rsid w:val="00AF74D0"/>
    <w:rsid w:val="00B004A4"/>
    <w:rsid w:val="00B00ABA"/>
    <w:rsid w:val="00B0104C"/>
    <w:rsid w:val="00B0148F"/>
    <w:rsid w:val="00B01858"/>
    <w:rsid w:val="00B0229D"/>
    <w:rsid w:val="00B03907"/>
    <w:rsid w:val="00B0395C"/>
    <w:rsid w:val="00B03E3A"/>
    <w:rsid w:val="00B041D8"/>
    <w:rsid w:val="00B0572A"/>
    <w:rsid w:val="00B05C9F"/>
    <w:rsid w:val="00B0639B"/>
    <w:rsid w:val="00B067CD"/>
    <w:rsid w:val="00B07588"/>
    <w:rsid w:val="00B07734"/>
    <w:rsid w:val="00B07A49"/>
    <w:rsid w:val="00B10FBB"/>
    <w:rsid w:val="00B11802"/>
    <w:rsid w:val="00B1200C"/>
    <w:rsid w:val="00B123FB"/>
    <w:rsid w:val="00B124D6"/>
    <w:rsid w:val="00B12CFD"/>
    <w:rsid w:val="00B14DBB"/>
    <w:rsid w:val="00B1789D"/>
    <w:rsid w:val="00B17CDC"/>
    <w:rsid w:val="00B17E5C"/>
    <w:rsid w:val="00B2006D"/>
    <w:rsid w:val="00B201CF"/>
    <w:rsid w:val="00B21346"/>
    <w:rsid w:val="00B2146E"/>
    <w:rsid w:val="00B2173C"/>
    <w:rsid w:val="00B21C2E"/>
    <w:rsid w:val="00B21C84"/>
    <w:rsid w:val="00B2221F"/>
    <w:rsid w:val="00B223C3"/>
    <w:rsid w:val="00B22425"/>
    <w:rsid w:val="00B23598"/>
    <w:rsid w:val="00B23620"/>
    <w:rsid w:val="00B237C3"/>
    <w:rsid w:val="00B23B8A"/>
    <w:rsid w:val="00B23EF2"/>
    <w:rsid w:val="00B246A0"/>
    <w:rsid w:val="00B257EC"/>
    <w:rsid w:val="00B260B0"/>
    <w:rsid w:val="00B26E46"/>
    <w:rsid w:val="00B272E7"/>
    <w:rsid w:val="00B27613"/>
    <w:rsid w:val="00B27DB4"/>
    <w:rsid w:val="00B3013A"/>
    <w:rsid w:val="00B305A8"/>
    <w:rsid w:val="00B307B2"/>
    <w:rsid w:val="00B30C96"/>
    <w:rsid w:val="00B31526"/>
    <w:rsid w:val="00B319EF"/>
    <w:rsid w:val="00B321FF"/>
    <w:rsid w:val="00B32223"/>
    <w:rsid w:val="00B326EF"/>
    <w:rsid w:val="00B337C8"/>
    <w:rsid w:val="00B337EB"/>
    <w:rsid w:val="00B33C29"/>
    <w:rsid w:val="00B34168"/>
    <w:rsid w:val="00B3433A"/>
    <w:rsid w:val="00B34D0C"/>
    <w:rsid w:val="00B361DC"/>
    <w:rsid w:val="00B4028B"/>
    <w:rsid w:val="00B408A2"/>
    <w:rsid w:val="00B42205"/>
    <w:rsid w:val="00B4496A"/>
    <w:rsid w:val="00B44D94"/>
    <w:rsid w:val="00B44FBE"/>
    <w:rsid w:val="00B450F5"/>
    <w:rsid w:val="00B45BA3"/>
    <w:rsid w:val="00B45FF3"/>
    <w:rsid w:val="00B503A3"/>
    <w:rsid w:val="00B503B7"/>
    <w:rsid w:val="00B50503"/>
    <w:rsid w:val="00B5086F"/>
    <w:rsid w:val="00B511D7"/>
    <w:rsid w:val="00B52195"/>
    <w:rsid w:val="00B5275A"/>
    <w:rsid w:val="00B54123"/>
    <w:rsid w:val="00B54CDC"/>
    <w:rsid w:val="00B55174"/>
    <w:rsid w:val="00B551FB"/>
    <w:rsid w:val="00B55649"/>
    <w:rsid w:val="00B55DFB"/>
    <w:rsid w:val="00B56426"/>
    <w:rsid w:val="00B57BFB"/>
    <w:rsid w:val="00B57C1E"/>
    <w:rsid w:val="00B57CF2"/>
    <w:rsid w:val="00B57DB0"/>
    <w:rsid w:val="00B60623"/>
    <w:rsid w:val="00B60806"/>
    <w:rsid w:val="00B61E07"/>
    <w:rsid w:val="00B61E91"/>
    <w:rsid w:val="00B626AF"/>
    <w:rsid w:val="00B64EEE"/>
    <w:rsid w:val="00B65473"/>
    <w:rsid w:val="00B66667"/>
    <w:rsid w:val="00B666B0"/>
    <w:rsid w:val="00B66E1F"/>
    <w:rsid w:val="00B70451"/>
    <w:rsid w:val="00B7144D"/>
    <w:rsid w:val="00B71B0F"/>
    <w:rsid w:val="00B71B5B"/>
    <w:rsid w:val="00B720EB"/>
    <w:rsid w:val="00B72326"/>
    <w:rsid w:val="00B7324E"/>
    <w:rsid w:val="00B73D5D"/>
    <w:rsid w:val="00B74390"/>
    <w:rsid w:val="00B7465F"/>
    <w:rsid w:val="00B753F5"/>
    <w:rsid w:val="00B76004"/>
    <w:rsid w:val="00B7609F"/>
    <w:rsid w:val="00B7638A"/>
    <w:rsid w:val="00B7659C"/>
    <w:rsid w:val="00B765CB"/>
    <w:rsid w:val="00B768BB"/>
    <w:rsid w:val="00B77561"/>
    <w:rsid w:val="00B77B27"/>
    <w:rsid w:val="00B77E31"/>
    <w:rsid w:val="00B80727"/>
    <w:rsid w:val="00B80AB3"/>
    <w:rsid w:val="00B81B17"/>
    <w:rsid w:val="00B8216D"/>
    <w:rsid w:val="00B8433B"/>
    <w:rsid w:val="00B84D05"/>
    <w:rsid w:val="00B84D9B"/>
    <w:rsid w:val="00B85307"/>
    <w:rsid w:val="00B8555B"/>
    <w:rsid w:val="00B85708"/>
    <w:rsid w:val="00B85B4B"/>
    <w:rsid w:val="00B85DAD"/>
    <w:rsid w:val="00B86214"/>
    <w:rsid w:val="00B86B4D"/>
    <w:rsid w:val="00B86E0A"/>
    <w:rsid w:val="00B87380"/>
    <w:rsid w:val="00B87689"/>
    <w:rsid w:val="00B87709"/>
    <w:rsid w:val="00B8791E"/>
    <w:rsid w:val="00B90B75"/>
    <w:rsid w:val="00B910FA"/>
    <w:rsid w:val="00B914C6"/>
    <w:rsid w:val="00B92699"/>
    <w:rsid w:val="00B92B0B"/>
    <w:rsid w:val="00B93A3B"/>
    <w:rsid w:val="00B93B62"/>
    <w:rsid w:val="00B93EB5"/>
    <w:rsid w:val="00B949DC"/>
    <w:rsid w:val="00B94CE5"/>
    <w:rsid w:val="00B94D06"/>
    <w:rsid w:val="00B9515E"/>
    <w:rsid w:val="00B95329"/>
    <w:rsid w:val="00B9544F"/>
    <w:rsid w:val="00B957B8"/>
    <w:rsid w:val="00B95F47"/>
    <w:rsid w:val="00B95F96"/>
    <w:rsid w:val="00B960A3"/>
    <w:rsid w:val="00B979B7"/>
    <w:rsid w:val="00B97D66"/>
    <w:rsid w:val="00BA0C1F"/>
    <w:rsid w:val="00BA146A"/>
    <w:rsid w:val="00BA1A49"/>
    <w:rsid w:val="00BA22AB"/>
    <w:rsid w:val="00BA274A"/>
    <w:rsid w:val="00BA29F4"/>
    <w:rsid w:val="00BA2B2E"/>
    <w:rsid w:val="00BA31E4"/>
    <w:rsid w:val="00BA34EB"/>
    <w:rsid w:val="00BA367A"/>
    <w:rsid w:val="00BA528D"/>
    <w:rsid w:val="00BA54DB"/>
    <w:rsid w:val="00BA588F"/>
    <w:rsid w:val="00BA5F03"/>
    <w:rsid w:val="00BA73CE"/>
    <w:rsid w:val="00BA7847"/>
    <w:rsid w:val="00BA78A9"/>
    <w:rsid w:val="00BB0CEF"/>
    <w:rsid w:val="00BB1793"/>
    <w:rsid w:val="00BB1EB0"/>
    <w:rsid w:val="00BB362F"/>
    <w:rsid w:val="00BB38E5"/>
    <w:rsid w:val="00BB4CCD"/>
    <w:rsid w:val="00BB4D22"/>
    <w:rsid w:val="00BB4D96"/>
    <w:rsid w:val="00BB55D3"/>
    <w:rsid w:val="00BB55DD"/>
    <w:rsid w:val="00BB5652"/>
    <w:rsid w:val="00BB5E2A"/>
    <w:rsid w:val="00BB653B"/>
    <w:rsid w:val="00BB6666"/>
    <w:rsid w:val="00BB7386"/>
    <w:rsid w:val="00BB79FF"/>
    <w:rsid w:val="00BB7D27"/>
    <w:rsid w:val="00BB7F2E"/>
    <w:rsid w:val="00BC019A"/>
    <w:rsid w:val="00BC06A1"/>
    <w:rsid w:val="00BC0E6C"/>
    <w:rsid w:val="00BC1968"/>
    <w:rsid w:val="00BC215D"/>
    <w:rsid w:val="00BC26AE"/>
    <w:rsid w:val="00BC2871"/>
    <w:rsid w:val="00BC3264"/>
    <w:rsid w:val="00BC3CEA"/>
    <w:rsid w:val="00BC435C"/>
    <w:rsid w:val="00BC4796"/>
    <w:rsid w:val="00BC4961"/>
    <w:rsid w:val="00BC4F0A"/>
    <w:rsid w:val="00BC4F64"/>
    <w:rsid w:val="00BC4FFC"/>
    <w:rsid w:val="00BC54FE"/>
    <w:rsid w:val="00BC5515"/>
    <w:rsid w:val="00BC58F9"/>
    <w:rsid w:val="00BC66A9"/>
    <w:rsid w:val="00BC7092"/>
    <w:rsid w:val="00BC7F30"/>
    <w:rsid w:val="00BD1F9E"/>
    <w:rsid w:val="00BD25A4"/>
    <w:rsid w:val="00BD2EA3"/>
    <w:rsid w:val="00BD2FDF"/>
    <w:rsid w:val="00BD3A60"/>
    <w:rsid w:val="00BD441B"/>
    <w:rsid w:val="00BD4F52"/>
    <w:rsid w:val="00BD5EC2"/>
    <w:rsid w:val="00BD6202"/>
    <w:rsid w:val="00BD6587"/>
    <w:rsid w:val="00BD6627"/>
    <w:rsid w:val="00BD6E61"/>
    <w:rsid w:val="00BD6EBD"/>
    <w:rsid w:val="00BD7064"/>
    <w:rsid w:val="00BD7CBB"/>
    <w:rsid w:val="00BE048E"/>
    <w:rsid w:val="00BE08F1"/>
    <w:rsid w:val="00BE0BCA"/>
    <w:rsid w:val="00BE0CC8"/>
    <w:rsid w:val="00BE13FF"/>
    <w:rsid w:val="00BE15F3"/>
    <w:rsid w:val="00BE1D09"/>
    <w:rsid w:val="00BE2526"/>
    <w:rsid w:val="00BE26B9"/>
    <w:rsid w:val="00BE2E31"/>
    <w:rsid w:val="00BE2F94"/>
    <w:rsid w:val="00BE4741"/>
    <w:rsid w:val="00BE4932"/>
    <w:rsid w:val="00BE4C8A"/>
    <w:rsid w:val="00BE50E3"/>
    <w:rsid w:val="00BE551D"/>
    <w:rsid w:val="00BE589C"/>
    <w:rsid w:val="00BE59BD"/>
    <w:rsid w:val="00BE677E"/>
    <w:rsid w:val="00BE67B9"/>
    <w:rsid w:val="00BE6A2F"/>
    <w:rsid w:val="00BE6F64"/>
    <w:rsid w:val="00BE73F7"/>
    <w:rsid w:val="00BE75FB"/>
    <w:rsid w:val="00BF00A5"/>
    <w:rsid w:val="00BF07C5"/>
    <w:rsid w:val="00BF08DA"/>
    <w:rsid w:val="00BF0CEB"/>
    <w:rsid w:val="00BF1486"/>
    <w:rsid w:val="00BF1DD6"/>
    <w:rsid w:val="00BF1E91"/>
    <w:rsid w:val="00BF27D2"/>
    <w:rsid w:val="00BF29B7"/>
    <w:rsid w:val="00BF2A65"/>
    <w:rsid w:val="00BF3055"/>
    <w:rsid w:val="00BF3245"/>
    <w:rsid w:val="00BF3AF2"/>
    <w:rsid w:val="00BF3E26"/>
    <w:rsid w:val="00BF56B8"/>
    <w:rsid w:val="00BF7812"/>
    <w:rsid w:val="00C00076"/>
    <w:rsid w:val="00C00347"/>
    <w:rsid w:val="00C0214B"/>
    <w:rsid w:val="00C023E2"/>
    <w:rsid w:val="00C028A2"/>
    <w:rsid w:val="00C02EA3"/>
    <w:rsid w:val="00C03AF2"/>
    <w:rsid w:val="00C03E86"/>
    <w:rsid w:val="00C03FCB"/>
    <w:rsid w:val="00C040A3"/>
    <w:rsid w:val="00C06441"/>
    <w:rsid w:val="00C06F36"/>
    <w:rsid w:val="00C07027"/>
    <w:rsid w:val="00C070B1"/>
    <w:rsid w:val="00C10E5D"/>
    <w:rsid w:val="00C11599"/>
    <w:rsid w:val="00C11B1A"/>
    <w:rsid w:val="00C11D1B"/>
    <w:rsid w:val="00C127A9"/>
    <w:rsid w:val="00C12D6F"/>
    <w:rsid w:val="00C13581"/>
    <w:rsid w:val="00C137C9"/>
    <w:rsid w:val="00C139F1"/>
    <w:rsid w:val="00C1456C"/>
    <w:rsid w:val="00C14862"/>
    <w:rsid w:val="00C14CF1"/>
    <w:rsid w:val="00C14D20"/>
    <w:rsid w:val="00C16CE2"/>
    <w:rsid w:val="00C16D2D"/>
    <w:rsid w:val="00C17590"/>
    <w:rsid w:val="00C1776E"/>
    <w:rsid w:val="00C17CA8"/>
    <w:rsid w:val="00C17E2F"/>
    <w:rsid w:val="00C203E0"/>
    <w:rsid w:val="00C205FE"/>
    <w:rsid w:val="00C20D37"/>
    <w:rsid w:val="00C2227B"/>
    <w:rsid w:val="00C22284"/>
    <w:rsid w:val="00C2246F"/>
    <w:rsid w:val="00C235AA"/>
    <w:rsid w:val="00C23901"/>
    <w:rsid w:val="00C239A9"/>
    <w:rsid w:val="00C24C18"/>
    <w:rsid w:val="00C258BC"/>
    <w:rsid w:val="00C25ECF"/>
    <w:rsid w:val="00C26937"/>
    <w:rsid w:val="00C26CD5"/>
    <w:rsid w:val="00C26F2A"/>
    <w:rsid w:val="00C27A6B"/>
    <w:rsid w:val="00C27B2B"/>
    <w:rsid w:val="00C3054B"/>
    <w:rsid w:val="00C308D1"/>
    <w:rsid w:val="00C309DB"/>
    <w:rsid w:val="00C30EF3"/>
    <w:rsid w:val="00C310F7"/>
    <w:rsid w:val="00C32210"/>
    <w:rsid w:val="00C32297"/>
    <w:rsid w:val="00C322DC"/>
    <w:rsid w:val="00C32FD4"/>
    <w:rsid w:val="00C3329B"/>
    <w:rsid w:val="00C33AE6"/>
    <w:rsid w:val="00C33BC6"/>
    <w:rsid w:val="00C342D5"/>
    <w:rsid w:val="00C34355"/>
    <w:rsid w:val="00C34645"/>
    <w:rsid w:val="00C34731"/>
    <w:rsid w:val="00C3496A"/>
    <w:rsid w:val="00C35419"/>
    <w:rsid w:val="00C3547B"/>
    <w:rsid w:val="00C35827"/>
    <w:rsid w:val="00C35B1F"/>
    <w:rsid w:val="00C35F67"/>
    <w:rsid w:val="00C3642A"/>
    <w:rsid w:val="00C379A8"/>
    <w:rsid w:val="00C4078E"/>
    <w:rsid w:val="00C40C42"/>
    <w:rsid w:val="00C41C73"/>
    <w:rsid w:val="00C420E0"/>
    <w:rsid w:val="00C421DA"/>
    <w:rsid w:val="00C42771"/>
    <w:rsid w:val="00C42DBE"/>
    <w:rsid w:val="00C43127"/>
    <w:rsid w:val="00C43143"/>
    <w:rsid w:val="00C43D6C"/>
    <w:rsid w:val="00C443DB"/>
    <w:rsid w:val="00C4463C"/>
    <w:rsid w:val="00C44992"/>
    <w:rsid w:val="00C45AC2"/>
    <w:rsid w:val="00C4606C"/>
    <w:rsid w:val="00C4668A"/>
    <w:rsid w:val="00C4671C"/>
    <w:rsid w:val="00C475F0"/>
    <w:rsid w:val="00C50250"/>
    <w:rsid w:val="00C509AA"/>
    <w:rsid w:val="00C50EC2"/>
    <w:rsid w:val="00C517C0"/>
    <w:rsid w:val="00C519AE"/>
    <w:rsid w:val="00C51D62"/>
    <w:rsid w:val="00C524FF"/>
    <w:rsid w:val="00C52C77"/>
    <w:rsid w:val="00C531E7"/>
    <w:rsid w:val="00C53971"/>
    <w:rsid w:val="00C5431E"/>
    <w:rsid w:val="00C550FF"/>
    <w:rsid w:val="00C558EB"/>
    <w:rsid w:val="00C55935"/>
    <w:rsid w:val="00C55F3B"/>
    <w:rsid w:val="00C577C9"/>
    <w:rsid w:val="00C578DF"/>
    <w:rsid w:val="00C57A37"/>
    <w:rsid w:val="00C60C9D"/>
    <w:rsid w:val="00C6129A"/>
    <w:rsid w:val="00C61B56"/>
    <w:rsid w:val="00C62288"/>
    <w:rsid w:val="00C63189"/>
    <w:rsid w:val="00C63359"/>
    <w:rsid w:val="00C6348D"/>
    <w:rsid w:val="00C63555"/>
    <w:rsid w:val="00C6365B"/>
    <w:rsid w:val="00C63C16"/>
    <w:rsid w:val="00C645AB"/>
    <w:rsid w:val="00C64A1B"/>
    <w:rsid w:val="00C64F9D"/>
    <w:rsid w:val="00C654B8"/>
    <w:rsid w:val="00C66E7F"/>
    <w:rsid w:val="00C674C7"/>
    <w:rsid w:val="00C7021B"/>
    <w:rsid w:val="00C703C8"/>
    <w:rsid w:val="00C70566"/>
    <w:rsid w:val="00C707A8"/>
    <w:rsid w:val="00C710F8"/>
    <w:rsid w:val="00C73312"/>
    <w:rsid w:val="00C73587"/>
    <w:rsid w:val="00C73895"/>
    <w:rsid w:val="00C7398F"/>
    <w:rsid w:val="00C74860"/>
    <w:rsid w:val="00C7553E"/>
    <w:rsid w:val="00C7579F"/>
    <w:rsid w:val="00C75ED0"/>
    <w:rsid w:val="00C7606D"/>
    <w:rsid w:val="00C76193"/>
    <w:rsid w:val="00C76223"/>
    <w:rsid w:val="00C76C7D"/>
    <w:rsid w:val="00C76E68"/>
    <w:rsid w:val="00C76EC2"/>
    <w:rsid w:val="00C77327"/>
    <w:rsid w:val="00C776ED"/>
    <w:rsid w:val="00C7794D"/>
    <w:rsid w:val="00C80F73"/>
    <w:rsid w:val="00C81AFF"/>
    <w:rsid w:val="00C82C93"/>
    <w:rsid w:val="00C82DE3"/>
    <w:rsid w:val="00C839FD"/>
    <w:rsid w:val="00C843AF"/>
    <w:rsid w:val="00C84575"/>
    <w:rsid w:val="00C85580"/>
    <w:rsid w:val="00C86FD7"/>
    <w:rsid w:val="00C87344"/>
    <w:rsid w:val="00C879DC"/>
    <w:rsid w:val="00C87CD9"/>
    <w:rsid w:val="00C90231"/>
    <w:rsid w:val="00C91638"/>
    <w:rsid w:val="00C91B5F"/>
    <w:rsid w:val="00C91F4E"/>
    <w:rsid w:val="00C921A7"/>
    <w:rsid w:val="00C925A5"/>
    <w:rsid w:val="00C92A4B"/>
    <w:rsid w:val="00C92CF3"/>
    <w:rsid w:val="00C944CA"/>
    <w:rsid w:val="00C95087"/>
    <w:rsid w:val="00C95098"/>
    <w:rsid w:val="00C95D4D"/>
    <w:rsid w:val="00C9648B"/>
    <w:rsid w:val="00C96C9F"/>
    <w:rsid w:val="00C96E06"/>
    <w:rsid w:val="00C97678"/>
    <w:rsid w:val="00C97757"/>
    <w:rsid w:val="00C97791"/>
    <w:rsid w:val="00C97F7E"/>
    <w:rsid w:val="00CA06FF"/>
    <w:rsid w:val="00CA0B40"/>
    <w:rsid w:val="00CA1D22"/>
    <w:rsid w:val="00CA1F76"/>
    <w:rsid w:val="00CA29A8"/>
    <w:rsid w:val="00CA2A11"/>
    <w:rsid w:val="00CA3333"/>
    <w:rsid w:val="00CA3655"/>
    <w:rsid w:val="00CA3F1C"/>
    <w:rsid w:val="00CA4383"/>
    <w:rsid w:val="00CA500E"/>
    <w:rsid w:val="00CA51B0"/>
    <w:rsid w:val="00CA5310"/>
    <w:rsid w:val="00CA5BBE"/>
    <w:rsid w:val="00CA624E"/>
    <w:rsid w:val="00CA6401"/>
    <w:rsid w:val="00CA65A7"/>
    <w:rsid w:val="00CA68C1"/>
    <w:rsid w:val="00CA6C97"/>
    <w:rsid w:val="00CA7CBB"/>
    <w:rsid w:val="00CA7D25"/>
    <w:rsid w:val="00CB09A2"/>
    <w:rsid w:val="00CB106E"/>
    <w:rsid w:val="00CB13C7"/>
    <w:rsid w:val="00CB17B1"/>
    <w:rsid w:val="00CB1A85"/>
    <w:rsid w:val="00CB1CAA"/>
    <w:rsid w:val="00CB205B"/>
    <w:rsid w:val="00CB28B5"/>
    <w:rsid w:val="00CB2D2C"/>
    <w:rsid w:val="00CB35D7"/>
    <w:rsid w:val="00CB424F"/>
    <w:rsid w:val="00CB4432"/>
    <w:rsid w:val="00CB45EF"/>
    <w:rsid w:val="00CB4D87"/>
    <w:rsid w:val="00CB5435"/>
    <w:rsid w:val="00CB556C"/>
    <w:rsid w:val="00CB5745"/>
    <w:rsid w:val="00CB57AF"/>
    <w:rsid w:val="00CB6986"/>
    <w:rsid w:val="00CB6F38"/>
    <w:rsid w:val="00CB792D"/>
    <w:rsid w:val="00CB7990"/>
    <w:rsid w:val="00CB7E45"/>
    <w:rsid w:val="00CC0F9C"/>
    <w:rsid w:val="00CC0FC6"/>
    <w:rsid w:val="00CC13E4"/>
    <w:rsid w:val="00CC1B8B"/>
    <w:rsid w:val="00CC222D"/>
    <w:rsid w:val="00CC2249"/>
    <w:rsid w:val="00CC2402"/>
    <w:rsid w:val="00CC2B31"/>
    <w:rsid w:val="00CC3DE0"/>
    <w:rsid w:val="00CC3EB8"/>
    <w:rsid w:val="00CC3F08"/>
    <w:rsid w:val="00CC49E2"/>
    <w:rsid w:val="00CC4A5B"/>
    <w:rsid w:val="00CC5146"/>
    <w:rsid w:val="00CC5378"/>
    <w:rsid w:val="00CC6045"/>
    <w:rsid w:val="00CC674B"/>
    <w:rsid w:val="00CC6FB9"/>
    <w:rsid w:val="00CC7848"/>
    <w:rsid w:val="00CD0526"/>
    <w:rsid w:val="00CD1B4E"/>
    <w:rsid w:val="00CD1C0B"/>
    <w:rsid w:val="00CD1F30"/>
    <w:rsid w:val="00CD2019"/>
    <w:rsid w:val="00CD2531"/>
    <w:rsid w:val="00CD270E"/>
    <w:rsid w:val="00CD2A01"/>
    <w:rsid w:val="00CD38A2"/>
    <w:rsid w:val="00CD3F64"/>
    <w:rsid w:val="00CD436A"/>
    <w:rsid w:val="00CD45A9"/>
    <w:rsid w:val="00CD4E1E"/>
    <w:rsid w:val="00CD4EF0"/>
    <w:rsid w:val="00CD6C63"/>
    <w:rsid w:val="00CD6F2B"/>
    <w:rsid w:val="00CD743D"/>
    <w:rsid w:val="00CD763E"/>
    <w:rsid w:val="00CD76DA"/>
    <w:rsid w:val="00CD7829"/>
    <w:rsid w:val="00CE070D"/>
    <w:rsid w:val="00CE07B6"/>
    <w:rsid w:val="00CE0E9D"/>
    <w:rsid w:val="00CE10C8"/>
    <w:rsid w:val="00CE1828"/>
    <w:rsid w:val="00CE184D"/>
    <w:rsid w:val="00CE1E73"/>
    <w:rsid w:val="00CE261D"/>
    <w:rsid w:val="00CE26AD"/>
    <w:rsid w:val="00CE2E98"/>
    <w:rsid w:val="00CE369C"/>
    <w:rsid w:val="00CE3A2B"/>
    <w:rsid w:val="00CE3F3E"/>
    <w:rsid w:val="00CE403C"/>
    <w:rsid w:val="00CE6044"/>
    <w:rsid w:val="00CE6234"/>
    <w:rsid w:val="00CE6263"/>
    <w:rsid w:val="00CE6914"/>
    <w:rsid w:val="00CE7051"/>
    <w:rsid w:val="00CE7281"/>
    <w:rsid w:val="00CE77CA"/>
    <w:rsid w:val="00CF0040"/>
    <w:rsid w:val="00CF052C"/>
    <w:rsid w:val="00CF1C84"/>
    <w:rsid w:val="00CF303B"/>
    <w:rsid w:val="00CF3B09"/>
    <w:rsid w:val="00CF3C1B"/>
    <w:rsid w:val="00CF400F"/>
    <w:rsid w:val="00CF4590"/>
    <w:rsid w:val="00CF4810"/>
    <w:rsid w:val="00CF481D"/>
    <w:rsid w:val="00CF4B25"/>
    <w:rsid w:val="00CF4CEA"/>
    <w:rsid w:val="00CF4E53"/>
    <w:rsid w:val="00CF50B2"/>
    <w:rsid w:val="00CF5832"/>
    <w:rsid w:val="00CF5F8B"/>
    <w:rsid w:val="00CF62C9"/>
    <w:rsid w:val="00CF6E62"/>
    <w:rsid w:val="00CF77DB"/>
    <w:rsid w:val="00D01DC2"/>
    <w:rsid w:val="00D01E9F"/>
    <w:rsid w:val="00D02322"/>
    <w:rsid w:val="00D028D0"/>
    <w:rsid w:val="00D02DC6"/>
    <w:rsid w:val="00D0373D"/>
    <w:rsid w:val="00D03A5E"/>
    <w:rsid w:val="00D03D86"/>
    <w:rsid w:val="00D040B4"/>
    <w:rsid w:val="00D041CB"/>
    <w:rsid w:val="00D049F5"/>
    <w:rsid w:val="00D0598D"/>
    <w:rsid w:val="00D05BF7"/>
    <w:rsid w:val="00D06263"/>
    <w:rsid w:val="00D068FB"/>
    <w:rsid w:val="00D06BEA"/>
    <w:rsid w:val="00D076F6"/>
    <w:rsid w:val="00D1044B"/>
    <w:rsid w:val="00D1088C"/>
    <w:rsid w:val="00D10DBE"/>
    <w:rsid w:val="00D111B1"/>
    <w:rsid w:val="00D1139C"/>
    <w:rsid w:val="00D11A3C"/>
    <w:rsid w:val="00D11D95"/>
    <w:rsid w:val="00D11E30"/>
    <w:rsid w:val="00D12127"/>
    <w:rsid w:val="00D12CB3"/>
    <w:rsid w:val="00D12E14"/>
    <w:rsid w:val="00D15384"/>
    <w:rsid w:val="00D15686"/>
    <w:rsid w:val="00D1656B"/>
    <w:rsid w:val="00D16DFC"/>
    <w:rsid w:val="00D1712B"/>
    <w:rsid w:val="00D17396"/>
    <w:rsid w:val="00D1754F"/>
    <w:rsid w:val="00D17F5F"/>
    <w:rsid w:val="00D20326"/>
    <w:rsid w:val="00D21B8A"/>
    <w:rsid w:val="00D2208C"/>
    <w:rsid w:val="00D22288"/>
    <w:rsid w:val="00D22297"/>
    <w:rsid w:val="00D2247B"/>
    <w:rsid w:val="00D22600"/>
    <w:rsid w:val="00D22D8C"/>
    <w:rsid w:val="00D240C9"/>
    <w:rsid w:val="00D2436F"/>
    <w:rsid w:val="00D24B44"/>
    <w:rsid w:val="00D253E1"/>
    <w:rsid w:val="00D25596"/>
    <w:rsid w:val="00D2561F"/>
    <w:rsid w:val="00D25A72"/>
    <w:rsid w:val="00D25B84"/>
    <w:rsid w:val="00D26689"/>
    <w:rsid w:val="00D26BE9"/>
    <w:rsid w:val="00D27BD1"/>
    <w:rsid w:val="00D3084E"/>
    <w:rsid w:val="00D30C9C"/>
    <w:rsid w:val="00D3123A"/>
    <w:rsid w:val="00D3125E"/>
    <w:rsid w:val="00D32169"/>
    <w:rsid w:val="00D32702"/>
    <w:rsid w:val="00D32767"/>
    <w:rsid w:val="00D32D0C"/>
    <w:rsid w:val="00D330E9"/>
    <w:rsid w:val="00D33232"/>
    <w:rsid w:val="00D3392D"/>
    <w:rsid w:val="00D33CEB"/>
    <w:rsid w:val="00D34115"/>
    <w:rsid w:val="00D35FB8"/>
    <w:rsid w:val="00D368F3"/>
    <w:rsid w:val="00D36DB4"/>
    <w:rsid w:val="00D37277"/>
    <w:rsid w:val="00D37982"/>
    <w:rsid w:val="00D379B8"/>
    <w:rsid w:val="00D37C01"/>
    <w:rsid w:val="00D405A4"/>
    <w:rsid w:val="00D42B88"/>
    <w:rsid w:val="00D42D1C"/>
    <w:rsid w:val="00D435CC"/>
    <w:rsid w:val="00D43980"/>
    <w:rsid w:val="00D44C11"/>
    <w:rsid w:val="00D44EAA"/>
    <w:rsid w:val="00D45F23"/>
    <w:rsid w:val="00D46610"/>
    <w:rsid w:val="00D46A2B"/>
    <w:rsid w:val="00D4796F"/>
    <w:rsid w:val="00D47E6D"/>
    <w:rsid w:val="00D502E7"/>
    <w:rsid w:val="00D50536"/>
    <w:rsid w:val="00D50A9B"/>
    <w:rsid w:val="00D50B34"/>
    <w:rsid w:val="00D51CAA"/>
    <w:rsid w:val="00D53E20"/>
    <w:rsid w:val="00D5438A"/>
    <w:rsid w:val="00D546B5"/>
    <w:rsid w:val="00D547E3"/>
    <w:rsid w:val="00D5495E"/>
    <w:rsid w:val="00D551D4"/>
    <w:rsid w:val="00D55510"/>
    <w:rsid w:val="00D55E85"/>
    <w:rsid w:val="00D55FE5"/>
    <w:rsid w:val="00D56038"/>
    <w:rsid w:val="00D5616C"/>
    <w:rsid w:val="00D565F1"/>
    <w:rsid w:val="00D56DFB"/>
    <w:rsid w:val="00D57F46"/>
    <w:rsid w:val="00D60762"/>
    <w:rsid w:val="00D607FF"/>
    <w:rsid w:val="00D60C6E"/>
    <w:rsid w:val="00D60D0A"/>
    <w:rsid w:val="00D614D7"/>
    <w:rsid w:val="00D6230D"/>
    <w:rsid w:val="00D62A81"/>
    <w:rsid w:val="00D62B5B"/>
    <w:rsid w:val="00D62BD8"/>
    <w:rsid w:val="00D62D9D"/>
    <w:rsid w:val="00D62ECB"/>
    <w:rsid w:val="00D63FFF"/>
    <w:rsid w:val="00D64266"/>
    <w:rsid w:val="00D64F07"/>
    <w:rsid w:val="00D6511C"/>
    <w:rsid w:val="00D655CB"/>
    <w:rsid w:val="00D65888"/>
    <w:rsid w:val="00D65AD3"/>
    <w:rsid w:val="00D66141"/>
    <w:rsid w:val="00D661A0"/>
    <w:rsid w:val="00D66640"/>
    <w:rsid w:val="00D667C7"/>
    <w:rsid w:val="00D6682E"/>
    <w:rsid w:val="00D67EAF"/>
    <w:rsid w:val="00D7039F"/>
    <w:rsid w:val="00D72D76"/>
    <w:rsid w:val="00D73276"/>
    <w:rsid w:val="00D73EC7"/>
    <w:rsid w:val="00D74758"/>
    <w:rsid w:val="00D748C0"/>
    <w:rsid w:val="00D74BAA"/>
    <w:rsid w:val="00D755AF"/>
    <w:rsid w:val="00D7568E"/>
    <w:rsid w:val="00D758D9"/>
    <w:rsid w:val="00D75BFC"/>
    <w:rsid w:val="00D75F4A"/>
    <w:rsid w:val="00D76E1F"/>
    <w:rsid w:val="00D77B9E"/>
    <w:rsid w:val="00D80333"/>
    <w:rsid w:val="00D80AED"/>
    <w:rsid w:val="00D80F53"/>
    <w:rsid w:val="00D81317"/>
    <w:rsid w:val="00D81790"/>
    <w:rsid w:val="00D81923"/>
    <w:rsid w:val="00D819F8"/>
    <w:rsid w:val="00D81A0E"/>
    <w:rsid w:val="00D832D0"/>
    <w:rsid w:val="00D83596"/>
    <w:rsid w:val="00D837A4"/>
    <w:rsid w:val="00D842BF"/>
    <w:rsid w:val="00D8463F"/>
    <w:rsid w:val="00D8492F"/>
    <w:rsid w:val="00D8497D"/>
    <w:rsid w:val="00D84F48"/>
    <w:rsid w:val="00D85178"/>
    <w:rsid w:val="00D860F8"/>
    <w:rsid w:val="00D86456"/>
    <w:rsid w:val="00D87652"/>
    <w:rsid w:val="00D91A69"/>
    <w:rsid w:val="00D91F87"/>
    <w:rsid w:val="00D925AC"/>
    <w:rsid w:val="00D92968"/>
    <w:rsid w:val="00D92974"/>
    <w:rsid w:val="00D92DC0"/>
    <w:rsid w:val="00D93126"/>
    <w:rsid w:val="00D9358F"/>
    <w:rsid w:val="00D93714"/>
    <w:rsid w:val="00D94646"/>
    <w:rsid w:val="00D94B33"/>
    <w:rsid w:val="00D94CFB"/>
    <w:rsid w:val="00D94E9B"/>
    <w:rsid w:val="00D94EFB"/>
    <w:rsid w:val="00D9664B"/>
    <w:rsid w:val="00D96CFD"/>
    <w:rsid w:val="00D9754F"/>
    <w:rsid w:val="00D9771F"/>
    <w:rsid w:val="00D97979"/>
    <w:rsid w:val="00D97B2A"/>
    <w:rsid w:val="00DA01EC"/>
    <w:rsid w:val="00DA026D"/>
    <w:rsid w:val="00DA1021"/>
    <w:rsid w:val="00DA1029"/>
    <w:rsid w:val="00DA1369"/>
    <w:rsid w:val="00DA13F6"/>
    <w:rsid w:val="00DA18B7"/>
    <w:rsid w:val="00DA1C25"/>
    <w:rsid w:val="00DA2C6C"/>
    <w:rsid w:val="00DA2E93"/>
    <w:rsid w:val="00DA587E"/>
    <w:rsid w:val="00DA59D5"/>
    <w:rsid w:val="00DB01EE"/>
    <w:rsid w:val="00DB0EA5"/>
    <w:rsid w:val="00DB100B"/>
    <w:rsid w:val="00DB1119"/>
    <w:rsid w:val="00DB154B"/>
    <w:rsid w:val="00DB1DA8"/>
    <w:rsid w:val="00DB2903"/>
    <w:rsid w:val="00DB2D96"/>
    <w:rsid w:val="00DB317C"/>
    <w:rsid w:val="00DB3C5D"/>
    <w:rsid w:val="00DB43FA"/>
    <w:rsid w:val="00DB4579"/>
    <w:rsid w:val="00DB6B77"/>
    <w:rsid w:val="00DB76B4"/>
    <w:rsid w:val="00DB77F3"/>
    <w:rsid w:val="00DC0CCE"/>
    <w:rsid w:val="00DC0FD6"/>
    <w:rsid w:val="00DC130E"/>
    <w:rsid w:val="00DC20C1"/>
    <w:rsid w:val="00DC2281"/>
    <w:rsid w:val="00DC229A"/>
    <w:rsid w:val="00DC2CF3"/>
    <w:rsid w:val="00DC3ED5"/>
    <w:rsid w:val="00DC4456"/>
    <w:rsid w:val="00DC4A85"/>
    <w:rsid w:val="00DC5052"/>
    <w:rsid w:val="00DC510E"/>
    <w:rsid w:val="00DC5324"/>
    <w:rsid w:val="00DC5400"/>
    <w:rsid w:val="00DC549A"/>
    <w:rsid w:val="00DC5711"/>
    <w:rsid w:val="00DC5851"/>
    <w:rsid w:val="00DC5C69"/>
    <w:rsid w:val="00DC679A"/>
    <w:rsid w:val="00DC6CDB"/>
    <w:rsid w:val="00DC7A6C"/>
    <w:rsid w:val="00DD049A"/>
    <w:rsid w:val="00DD0E77"/>
    <w:rsid w:val="00DD0F2B"/>
    <w:rsid w:val="00DD150D"/>
    <w:rsid w:val="00DD1533"/>
    <w:rsid w:val="00DD2399"/>
    <w:rsid w:val="00DD33B8"/>
    <w:rsid w:val="00DD34FA"/>
    <w:rsid w:val="00DD3654"/>
    <w:rsid w:val="00DD3994"/>
    <w:rsid w:val="00DD3F06"/>
    <w:rsid w:val="00DD4012"/>
    <w:rsid w:val="00DD45F6"/>
    <w:rsid w:val="00DD4825"/>
    <w:rsid w:val="00DD4C43"/>
    <w:rsid w:val="00DD4C95"/>
    <w:rsid w:val="00DD4E72"/>
    <w:rsid w:val="00DD53F1"/>
    <w:rsid w:val="00DD5539"/>
    <w:rsid w:val="00DD5AC2"/>
    <w:rsid w:val="00DD5DEC"/>
    <w:rsid w:val="00DD73D7"/>
    <w:rsid w:val="00DD76AA"/>
    <w:rsid w:val="00DD7CF3"/>
    <w:rsid w:val="00DE036B"/>
    <w:rsid w:val="00DE0BAA"/>
    <w:rsid w:val="00DE0CC2"/>
    <w:rsid w:val="00DE0E4C"/>
    <w:rsid w:val="00DE0F0D"/>
    <w:rsid w:val="00DE1242"/>
    <w:rsid w:val="00DE31F6"/>
    <w:rsid w:val="00DE35BA"/>
    <w:rsid w:val="00DE4091"/>
    <w:rsid w:val="00DE4AFE"/>
    <w:rsid w:val="00DE4FE2"/>
    <w:rsid w:val="00DE50ED"/>
    <w:rsid w:val="00DE6011"/>
    <w:rsid w:val="00DE6063"/>
    <w:rsid w:val="00DE67CB"/>
    <w:rsid w:val="00DF032B"/>
    <w:rsid w:val="00DF09D0"/>
    <w:rsid w:val="00DF0EBE"/>
    <w:rsid w:val="00DF176D"/>
    <w:rsid w:val="00DF2CE5"/>
    <w:rsid w:val="00DF3040"/>
    <w:rsid w:val="00DF3769"/>
    <w:rsid w:val="00DF3D00"/>
    <w:rsid w:val="00DF487C"/>
    <w:rsid w:val="00DF5134"/>
    <w:rsid w:val="00DF51CB"/>
    <w:rsid w:val="00DF5322"/>
    <w:rsid w:val="00DF533F"/>
    <w:rsid w:val="00DF559F"/>
    <w:rsid w:val="00DF59FE"/>
    <w:rsid w:val="00DF6D77"/>
    <w:rsid w:val="00DF7732"/>
    <w:rsid w:val="00DF7AD8"/>
    <w:rsid w:val="00E011C1"/>
    <w:rsid w:val="00E01276"/>
    <w:rsid w:val="00E01A5C"/>
    <w:rsid w:val="00E01B30"/>
    <w:rsid w:val="00E02CE0"/>
    <w:rsid w:val="00E02D94"/>
    <w:rsid w:val="00E0329D"/>
    <w:rsid w:val="00E03739"/>
    <w:rsid w:val="00E037AD"/>
    <w:rsid w:val="00E03D22"/>
    <w:rsid w:val="00E045D6"/>
    <w:rsid w:val="00E0523F"/>
    <w:rsid w:val="00E05B9A"/>
    <w:rsid w:val="00E05BCE"/>
    <w:rsid w:val="00E05CA1"/>
    <w:rsid w:val="00E0626A"/>
    <w:rsid w:val="00E06288"/>
    <w:rsid w:val="00E07681"/>
    <w:rsid w:val="00E07AE0"/>
    <w:rsid w:val="00E07C32"/>
    <w:rsid w:val="00E07C44"/>
    <w:rsid w:val="00E1164C"/>
    <w:rsid w:val="00E12FB7"/>
    <w:rsid w:val="00E12FD1"/>
    <w:rsid w:val="00E13740"/>
    <w:rsid w:val="00E145C8"/>
    <w:rsid w:val="00E14887"/>
    <w:rsid w:val="00E1547D"/>
    <w:rsid w:val="00E158FD"/>
    <w:rsid w:val="00E1661A"/>
    <w:rsid w:val="00E1663A"/>
    <w:rsid w:val="00E20B7C"/>
    <w:rsid w:val="00E2134A"/>
    <w:rsid w:val="00E213AD"/>
    <w:rsid w:val="00E21742"/>
    <w:rsid w:val="00E218BE"/>
    <w:rsid w:val="00E21A59"/>
    <w:rsid w:val="00E21B3B"/>
    <w:rsid w:val="00E224FA"/>
    <w:rsid w:val="00E22AC4"/>
    <w:rsid w:val="00E23464"/>
    <w:rsid w:val="00E24415"/>
    <w:rsid w:val="00E24F1C"/>
    <w:rsid w:val="00E251BE"/>
    <w:rsid w:val="00E25273"/>
    <w:rsid w:val="00E25AD0"/>
    <w:rsid w:val="00E25BBC"/>
    <w:rsid w:val="00E25F07"/>
    <w:rsid w:val="00E26DE0"/>
    <w:rsid w:val="00E2707D"/>
    <w:rsid w:val="00E278BE"/>
    <w:rsid w:val="00E279A5"/>
    <w:rsid w:val="00E27AD0"/>
    <w:rsid w:val="00E3095A"/>
    <w:rsid w:val="00E31700"/>
    <w:rsid w:val="00E32A5C"/>
    <w:rsid w:val="00E33CD2"/>
    <w:rsid w:val="00E33F04"/>
    <w:rsid w:val="00E3407C"/>
    <w:rsid w:val="00E34357"/>
    <w:rsid w:val="00E34494"/>
    <w:rsid w:val="00E3474B"/>
    <w:rsid w:val="00E34803"/>
    <w:rsid w:val="00E35C92"/>
    <w:rsid w:val="00E369AA"/>
    <w:rsid w:val="00E36A96"/>
    <w:rsid w:val="00E37746"/>
    <w:rsid w:val="00E37C0D"/>
    <w:rsid w:val="00E40020"/>
    <w:rsid w:val="00E4053E"/>
    <w:rsid w:val="00E40579"/>
    <w:rsid w:val="00E41AA1"/>
    <w:rsid w:val="00E41F8B"/>
    <w:rsid w:val="00E42B76"/>
    <w:rsid w:val="00E42F2A"/>
    <w:rsid w:val="00E4310B"/>
    <w:rsid w:val="00E43130"/>
    <w:rsid w:val="00E435A9"/>
    <w:rsid w:val="00E436C0"/>
    <w:rsid w:val="00E43CB0"/>
    <w:rsid w:val="00E43FC4"/>
    <w:rsid w:val="00E44055"/>
    <w:rsid w:val="00E44565"/>
    <w:rsid w:val="00E44673"/>
    <w:rsid w:val="00E44B52"/>
    <w:rsid w:val="00E44CFB"/>
    <w:rsid w:val="00E44FF0"/>
    <w:rsid w:val="00E45A9A"/>
    <w:rsid w:val="00E46774"/>
    <w:rsid w:val="00E4779B"/>
    <w:rsid w:val="00E47FC2"/>
    <w:rsid w:val="00E501BD"/>
    <w:rsid w:val="00E5073D"/>
    <w:rsid w:val="00E507C2"/>
    <w:rsid w:val="00E50EDF"/>
    <w:rsid w:val="00E50F16"/>
    <w:rsid w:val="00E512E4"/>
    <w:rsid w:val="00E51B71"/>
    <w:rsid w:val="00E51CAF"/>
    <w:rsid w:val="00E51E40"/>
    <w:rsid w:val="00E54B89"/>
    <w:rsid w:val="00E57153"/>
    <w:rsid w:val="00E5769F"/>
    <w:rsid w:val="00E600A3"/>
    <w:rsid w:val="00E60210"/>
    <w:rsid w:val="00E60575"/>
    <w:rsid w:val="00E6073C"/>
    <w:rsid w:val="00E61BF0"/>
    <w:rsid w:val="00E61F2C"/>
    <w:rsid w:val="00E628C1"/>
    <w:rsid w:val="00E62B46"/>
    <w:rsid w:val="00E63169"/>
    <w:rsid w:val="00E63734"/>
    <w:rsid w:val="00E63868"/>
    <w:rsid w:val="00E63E7E"/>
    <w:rsid w:val="00E64264"/>
    <w:rsid w:val="00E646F3"/>
    <w:rsid w:val="00E64783"/>
    <w:rsid w:val="00E64AE9"/>
    <w:rsid w:val="00E64DEB"/>
    <w:rsid w:val="00E64E0C"/>
    <w:rsid w:val="00E65735"/>
    <w:rsid w:val="00E6629F"/>
    <w:rsid w:val="00E662BB"/>
    <w:rsid w:val="00E6638D"/>
    <w:rsid w:val="00E667D9"/>
    <w:rsid w:val="00E6687B"/>
    <w:rsid w:val="00E67B7A"/>
    <w:rsid w:val="00E708E2"/>
    <w:rsid w:val="00E716EC"/>
    <w:rsid w:val="00E71974"/>
    <w:rsid w:val="00E72296"/>
    <w:rsid w:val="00E72965"/>
    <w:rsid w:val="00E72C17"/>
    <w:rsid w:val="00E72C2A"/>
    <w:rsid w:val="00E72F19"/>
    <w:rsid w:val="00E737B0"/>
    <w:rsid w:val="00E74312"/>
    <w:rsid w:val="00E74B6C"/>
    <w:rsid w:val="00E74C1A"/>
    <w:rsid w:val="00E74FDD"/>
    <w:rsid w:val="00E753DD"/>
    <w:rsid w:val="00E75BF4"/>
    <w:rsid w:val="00E75E1C"/>
    <w:rsid w:val="00E7632A"/>
    <w:rsid w:val="00E76364"/>
    <w:rsid w:val="00E76CFB"/>
    <w:rsid w:val="00E76E22"/>
    <w:rsid w:val="00E771DF"/>
    <w:rsid w:val="00E774B3"/>
    <w:rsid w:val="00E776AD"/>
    <w:rsid w:val="00E809EA"/>
    <w:rsid w:val="00E80EF7"/>
    <w:rsid w:val="00E81F21"/>
    <w:rsid w:val="00E825A5"/>
    <w:rsid w:val="00E83F8F"/>
    <w:rsid w:val="00E84898"/>
    <w:rsid w:val="00E8505D"/>
    <w:rsid w:val="00E85173"/>
    <w:rsid w:val="00E854B9"/>
    <w:rsid w:val="00E855F9"/>
    <w:rsid w:val="00E85BBB"/>
    <w:rsid w:val="00E86E44"/>
    <w:rsid w:val="00E900E7"/>
    <w:rsid w:val="00E904C8"/>
    <w:rsid w:val="00E9099F"/>
    <w:rsid w:val="00E91E3D"/>
    <w:rsid w:val="00E922D0"/>
    <w:rsid w:val="00E9265D"/>
    <w:rsid w:val="00E92942"/>
    <w:rsid w:val="00E92D19"/>
    <w:rsid w:val="00E931A8"/>
    <w:rsid w:val="00E941E5"/>
    <w:rsid w:val="00E94A8C"/>
    <w:rsid w:val="00E94D36"/>
    <w:rsid w:val="00E95389"/>
    <w:rsid w:val="00E95D6F"/>
    <w:rsid w:val="00E96DC8"/>
    <w:rsid w:val="00E96E38"/>
    <w:rsid w:val="00E96E43"/>
    <w:rsid w:val="00E970F7"/>
    <w:rsid w:val="00E976F4"/>
    <w:rsid w:val="00E97D65"/>
    <w:rsid w:val="00EA03C9"/>
    <w:rsid w:val="00EA077B"/>
    <w:rsid w:val="00EA0BE9"/>
    <w:rsid w:val="00EA12E1"/>
    <w:rsid w:val="00EA18BB"/>
    <w:rsid w:val="00EA2822"/>
    <w:rsid w:val="00EA2BFD"/>
    <w:rsid w:val="00EA2E8F"/>
    <w:rsid w:val="00EA4429"/>
    <w:rsid w:val="00EA4717"/>
    <w:rsid w:val="00EA595F"/>
    <w:rsid w:val="00EA61C5"/>
    <w:rsid w:val="00EA688F"/>
    <w:rsid w:val="00EA6FE3"/>
    <w:rsid w:val="00EB02D2"/>
    <w:rsid w:val="00EB0D12"/>
    <w:rsid w:val="00EB14DF"/>
    <w:rsid w:val="00EB1878"/>
    <w:rsid w:val="00EB2107"/>
    <w:rsid w:val="00EB2285"/>
    <w:rsid w:val="00EB27C3"/>
    <w:rsid w:val="00EB2C47"/>
    <w:rsid w:val="00EB31E3"/>
    <w:rsid w:val="00EB338E"/>
    <w:rsid w:val="00EB3ABF"/>
    <w:rsid w:val="00EB4416"/>
    <w:rsid w:val="00EB44FE"/>
    <w:rsid w:val="00EB4A2E"/>
    <w:rsid w:val="00EB4C05"/>
    <w:rsid w:val="00EB4EFD"/>
    <w:rsid w:val="00EB668B"/>
    <w:rsid w:val="00EB688D"/>
    <w:rsid w:val="00EB760E"/>
    <w:rsid w:val="00EC2B00"/>
    <w:rsid w:val="00EC2B0F"/>
    <w:rsid w:val="00EC2D2B"/>
    <w:rsid w:val="00EC30CC"/>
    <w:rsid w:val="00EC3480"/>
    <w:rsid w:val="00EC39A0"/>
    <w:rsid w:val="00EC3FB6"/>
    <w:rsid w:val="00EC4091"/>
    <w:rsid w:val="00EC506A"/>
    <w:rsid w:val="00EC511A"/>
    <w:rsid w:val="00EC519D"/>
    <w:rsid w:val="00EC5CAA"/>
    <w:rsid w:val="00EC5D3D"/>
    <w:rsid w:val="00EC5E0C"/>
    <w:rsid w:val="00EC5FC5"/>
    <w:rsid w:val="00EC62A4"/>
    <w:rsid w:val="00EC6818"/>
    <w:rsid w:val="00EC7C00"/>
    <w:rsid w:val="00EC7C20"/>
    <w:rsid w:val="00EC7DD5"/>
    <w:rsid w:val="00ED0EDE"/>
    <w:rsid w:val="00ED11E3"/>
    <w:rsid w:val="00ED1765"/>
    <w:rsid w:val="00ED1D21"/>
    <w:rsid w:val="00ED2531"/>
    <w:rsid w:val="00ED2CBF"/>
    <w:rsid w:val="00ED332E"/>
    <w:rsid w:val="00ED3933"/>
    <w:rsid w:val="00ED3ABE"/>
    <w:rsid w:val="00ED573A"/>
    <w:rsid w:val="00ED5BF2"/>
    <w:rsid w:val="00ED5D95"/>
    <w:rsid w:val="00ED6C84"/>
    <w:rsid w:val="00ED6CA3"/>
    <w:rsid w:val="00ED6CBD"/>
    <w:rsid w:val="00ED6E77"/>
    <w:rsid w:val="00ED7314"/>
    <w:rsid w:val="00ED76DF"/>
    <w:rsid w:val="00ED7AAD"/>
    <w:rsid w:val="00EE0F3A"/>
    <w:rsid w:val="00EE19EF"/>
    <w:rsid w:val="00EE1FFC"/>
    <w:rsid w:val="00EE25AF"/>
    <w:rsid w:val="00EE2EEC"/>
    <w:rsid w:val="00EE39FC"/>
    <w:rsid w:val="00EE4A04"/>
    <w:rsid w:val="00EE4F55"/>
    <w:rsid w:val="00EE5082"/>
    <w:rsid w:val="00EE551B"/>
    <w:rsid w:val="00EE5B4E"/>
    <w:rsid w:val="00EE7D5A"/>
    <w:rsid w:val="00EE7F6E"/>
    <w:rsid w:val="00EE7FDC"/>
    <w:rsid w:val="00EF0C4A"/>
    <w:rsid w:val="00EF18A2"/>
    <w:rsid w:val="00EF1D55"/>
    <w:rsid w:val="00EF2EA1"/>
    <w:rsid w:val="00EF2F8F"/>
    <w:rsid w:val="00EF3707"/>
    <w:rsid w:val="00EF39C0"/>
    <w:rsid w:val="00EF3B13"/>
    <w:rsid w:val="00EF4DC6"/>
    <w:rsid w:val="00EF518A"/>
    <w:rsid w:val="00EF5524"/>
    <w:rsid w:val="00EF67D0"/>
    <w:rsid w:val="00EF6A37"/>
    <w:rsid w:val="00EF6A68"/>
    <w:rsid w:val="00EF6DD8"/>
    <w:rsid w:val="00EF6E16"/>
    <w:rsid w:val="00EF7057"/>
    <w:rsid w:val="00EF724A"/>
    <w:rsid w:val="00EF72E9"/>
    <w:rsid w:val="00EF7638"/>
    <w:rsid w:val="00EF774E"/>
    <w:rsid w:val="00EF777E"/>
    <w:rsid w:val="00EF7B50"/>
    <w:rsid w:val="00F00DCD"/>
    <w:rsid w:val="00F01465"/>
    <w:rsid w:val="00F016BC"/>
    <w:rsid w:val="00F016CB"/>
    <w:rsid w:val="00F01B80"/>
    <w:rsid w:val="00F01FBB"/>
    <w:rsid w:val="00F02916"/>
    <w:rsid w:val="00F02C77"/>
    <w:rsid w:val="00F03299"/>
    <w:rsid w:val="00F0372A"/>
    <w:rsid w:val="00F03D98"/>
    <w:rsid w:val="00F040A5"/>
    <w:rsid w:val="00F04339"/>
    <w:rsid w:val="00F04F84"/>
    <w:rsid w:val="00F05186"/>
    <w:rsid w:val="00F054ED"/>
    <w:rsid w:val="00F05AAC"/>
    <w:rsid w:val="00F05DBC"/>
    <w:rsid w:val="00F066E4"/>
    <w:rsid w:val="00F06BD3"/>
    <w:rsid w:val="00F075CA"/>
    <w:rsid w:val="00F07D31"/>
    <w:rsid w:val="00F10259"/>
    <w:rsid w:val="00F10668"/>
    <w:rsid w:val="00F11680"/>
    <w:rsid w:val="00F1210B"/>
    <w:rsid w:val="00F121E4"/>
    <w:rsid w:val="00F125F1"/>
    <w:rsid w:val="00F12B54"/>
    <w:rsid w:val="00F14723"/>
    <w:rsid w:val="00F14D8C"/>
    <w:rsid w:val="00F152EF"/>
    <w:rsid w:val="00F15EAE"/>
    <w:rsid w:val="00F1782D"/>
    <w:rsid w:val="00F2088B"/>
    <w:rsid w:val="00F20A8E"/>
    <w:rsid w:val="00F20BB0"/>
    <w:rsid w:val="00F20EBC"/>
    <w:rsid w:val="00F2271F"/>
    <w:rsid w:val="00F22C40"/>
    <w:rsid w:val="00F2323D"/>
    <w:rsid w:val="00F234DE"/>
    <w:rsid w:val="00F247F5"/>
    <w:rsid w:val="00F24822"/>
    <w:rsid w:val="00F24C0A"/>
    <w:rsid w:val="00F25626"/>
    <w:rsid w:val="00F25AC5"/>
    <w:rsid w:val="00F25E0E"/>
    <w:rsid w:val="00F25ECE"/>
    <w:rsid w:val="00F26D9E"/>
    <w:rsid w:val="00F272E4"/>
    <w:rsid w:val="00F278EC"/>
    <w:rsid w:val="00F27F0A"/>
    <w:rsid w:val="00F3072D"/>
    <w:rsid w:val="00F309A4"/>
    <w:rsid w:val="00F30D6F"/>
    <w:rsid w:val="00F31489"/>
    <w:rsid w:val="00F31D86"/>
    <w:rsid w:val="00F324E7"/>
    <w:rsid w:val="00F32A44"/>
    <w:rsid w:val="00F32B9B"/>
    <w:rsid w:val="00F33714"/>
    <w:rsid w:val="00F343D5"/>
    <w:rsid w:val="00F34B2E"/>
    <w:rsid w:val="00F34B47"/>
    <w:rsid w:val="00F353A6"/>
    <w:rsid w:val="00F35447"/>
    <w:rsid w:val="00F354ED"/>
    <w:rsid w:val="00F3633E"/>
    <w:rsid w:val="00F3674F"/>
    <w:rsid w:val="00F37254"/>
    <w:rsid w:val="00F37C9B"/>
    <w:rsid w:val="00F40619"/>
    <w:rsid w:val="00F411F8"/>
    <w:rsid w:val="00F41737"/>
    <w:rsid w:val="00F42FF3"/>
    <w:rsid w:val="00F4358B"/>
    <w:rsid w:val="00F4395E"/>
    <w:rsid w:val="00F44098"/>
    <w:rsid w:val="00F44175"/>
    <w:rsid w:val="00F448B0"/>
    <w:rsid w:val="00F449DD"/>
    <w:rsid w:val="00F44D3F"/>
    <w:rsid w:val="00F4514D"/>
    <w:rsid w:val="00F45792"/>
    <w:rsid w:val="00F45CBC"/>
    <w:rsid w:val="00F4689A"/>
    <w:rsid w:val="00F47544"/>
    <w:rsid w:val="00F4755D"/>
    <w:rsid w:val="00F47988"/>
    <w:rsid w:val="00F47E41"/>
    <w:rsid w:val="00F500BC"/>
    <w:rsid w:val="00F5016D"/>
    <w:rsid w:val="00F5017E"/>
    <w:rsid w:val="00F502A8"/>
    <w:rsid w:val="00F50F40"/>
    <w:rsid w:val="00F5159C"/>
    <w:rsid w:val="00F51A96"/>
    <w:rsid w:val="00F523C4"/>
    <w:rsid w:val="00F523F4"/>
    <w:rsid w:val="00F52477"/>
    <w:rsid w:val="00F52ADC"/>
    <w:rsid w:val="00F53913"/>
    <w:rsid w:val="00F53E8C"/>
    <w:rsid w:val="00F54205"/>
    <w:rsid w:val="00F543FF"/>
    <w:rsid w:val="00F54501"/>
    <w:rsid w:val="00F54842"/>
    <w:rsid w:val="00F552B1"/>
    <w:rsid w:val="00F557E3"/>
    <w:rsid w:val="00F5590D"/>
    <w:rsid w:val="00F56BCE"/>
    <w:rsid w:val="00F571E6"/>
    <w:rsid w:val="00F57830"/>
    <w:rsid w:val="00F6067A"/>
    <w:rsid w:val="00F6096A"/>
    <w:rsid w:val="00F6101D"/>
    <w:rsid w:val="00F61337"/>
    <w:rsid w:val="00F61513"/>
    <w:rsid w:val="00F617B3"/>
    <w:rsid w:val="00F62271"/>
    <w:rsid w:val="00F62845"/>
    <w:rsid w:val="00F63DD2"/>
    <w:rsid w:val="00F64D51"/>
    <w:rsid w:val="00F650D0"/>
    <w:rsid w:val="00F6526B"/>
    <w:rsid w:val="00F66660"/>
    <w:rsid w:val="00F66903"/>
    <w:rsid w:val="00F66F30"/>
    <w:rsid w:val="00F67148"/>
    <w:rsid w:val="00F67C97"/>
    <w:rsid w:val="00F70346"/>
    <w:rsid w:val="00F70371"/>
    <w:rsid w:val="00F708D8"/>
    <w:rsid w:val="00F70977"/>
    <w:rsid w:val="00F710AE"/>
    <w:rsid w:val="00F717C2"/>
    <w:rsid w:val="00F7184A"/>
    <w:rsid w:val="00F72701"/>
    <w:rsid w:val="00F72754"/>
    <w:rsid w:val="00F74408"/>
    <w:rsid w:val="00F7453A"/>
    <w:rsid w:val="00F754FA"/>
    <w:rsid w:val="00F75BDE"/>
    <w:rsid w:val="00F75FAE"/>
    <w:rsid w:val="00F7692E"/>
    <w:rsid w:val="00F7719D"/>
    <w:rsid w:val="00F7720C"/>
    <w:rsid w:val="00F777A7"/>
    <w:rsid w:val="00F80497"/>
    <w:rsid w:val="00F80580"/>
    <w:rsid w:val="00F8065D"/>
    <w:rsid w:val="00F8199A"/>
    <w:rsid w:val="00F8336D"/>
    <w:rsid w:val="00F8337F"/>
    <w:rsid w:val="00F84392"/>
    <w:rsid w:val="00F847D5"/>
    <w:rsid w:val="00F85DBF"/>
    <w:rsid w:val="00F87FB0"/>
    <w:rsid w:val="00F90244"/>
    <w:rsid w:val="00F912FA"/>
    <w:rsid w:val="00F917ED"/>
    <w:rsid w:val="00F91A17"/>
    <w:rsid w:val="00F9243D"/>
    <w:rsid w:val="00F9253D"/>
    <w:rsid w:val="00F929CC"/>
    <w:rsid w:val="00F92C23"/>
    <w:rsid w:val="00F93233"/>
    <w:rsid w:val="00F93763"/>
    <w:rsid w:val="00F94653"/>
    <w:rsid w:val="00F94DBF"/>
    <w:rsid w:val="00F954AB"/>
    <w:rsid w:val="00F95AB6"/>
    <w:rsid w:val="00F96F62"/>
    <w:rsid w:val="00F96F6A"/>
    <w:rsid w:val="00F96F79"/>
    <w:rsid w:val="00F973E6"/>
    <w:rsid w:val="00F975B8"/>
    <w:rsid w:val="00F97C3D"/>
    <w:rsid w:val="00F97E7B"/>
    <w:rsid w:val="00FA00F9"/>
    <w:rsid w:val="00FA06D7"/>
    <w:rsid w:val="00FA0C27"/>
    <w:rsid w:val="00FA1241"/>
    <w:rsid w:val="00FA15E6"/>
    <w:rsid w:val="00FA1EEB"/>
    <w:rsid w:val="00FA2177"/>
    <w:rsid w:val="00FA242C"/>
    <w:rsid w:val="00FA2BFC"/>
    <w:rsid w:val="00FA3275"/>
    <w:rsid w:val="00FA3721"/>
    <w:rsid w:val="00FA3B07"/>
    <w:rsid w:val="00FA4733"/>
    <w:rsid w:val="00FA49C3"/>
    <w:rsid w:val="00FA4AEB"/>
    <w:rsid w:val="00FA4DD6"/>
    <w:rsid w:val="00FA52AA"/>
    <w:rsid w:val="00FA6445"/>
    <w:rsid w:val="00FA6B06"/>
    <w:rsid w:val="00FA6E22"/>
    <w:rsid w:val="00FA6EDB"/>
    <w:rsid w:val="00FA70C5"/>
    <w:rsid w:val="00FB0676"/>
    <w:rsid w:val="00FB0E64"/>
    <w:rsid w:val="00FB1FAB"/>
    <w:rsid w:val="00FB2165"/>
    <w:rsid w:val="00FB3C6E"/>
    <w:rsid w:val="00FB40C0"/>
    <w:rsid w:val="00FB41C1"/>
    <w:rsid w:val="00FB41EE"/>
    <w:rsid w:val="00FB4278"/>
    <w:rsid w:val="00FB52A6"/>
    <w:rsid w:val="00FB60B1"/>
    <w:rsid w:val="00FB674D"/>
    <w:rsid w:val="00FB6769"/>
    <w:rsid w:val="00FB6B39"/>
    <w:rsid w:val="00FB7598"/>
    <w:rsid w:val="00FB76D3"/>
    <w:rsid w:val="00FC0596"/>
    <w:rsid w:val="00FC19BB"/>
    <w:rsid w:val="00FC21E6"/>
    <w:rsid w:val="00FC2369"/>
    <w:rsid w:val="00FC27CD"/>
    <w:rsid w:val="00FC2DF5"/>
    <w:rsid w:val="00FC35F6"/>
    <w:rsid w:val="00FC3D25"/>
    <w:rsid w:val="00FC3F89"/>
    <w:rsid w:val="00FC4359"/>
    <w:rsid w:val="00FC4E92"/>
    <w:rsid w:val="00FC4F90"/>
    <w:rsid w:val="00FC558E"/>
    <w:rsid w:val="00FC59E2"/>
    <w:rsid w:val="00FC60F5"/>
    <w:rsid w:val="00FC6BCE"/>
    <w:rsid w:val="00FC745D"/>
    <w:rsid w:val="00FD0AC3"/>
    <w:rsid w:val="00FD1111"/>
    <w:rsid w:val="00FD1454"/>
    <w:rsid w:val="00FD1B93"/>
    <w:rsid w:val="00FD2155"/>
    <w:rsid w:val="00FD24E2"/>
    <w:rsid w:val="00FD28EF"/>
    <w:rsid w:val="00FD2B5C"/>
    <w:rsid w:val="00FD4145"/>
    <w:rsid w:val="00FD4B26"/>
    <w:rsid w:val="00FD4D3A"/>
    <w:rsid w:val="00FD5A73"/>
    <w:rsid w:val="00FD5EA4"/>
    <w:rsid w:val="00FD6011"/>
    <w:rsid w:val="00FD6B9C"/>
    <w:rsid w:val="00FD6F33"/>
    <w:rsid w:val="00FD728C"/>
    <w:rsid w:val="00FD74C3"/>
    <w:rsid w:val="00FD788B"/>
    <w:rsid w:val="00FD7E78"/>
    <w:rsid w:val="00FE00E7"/>
    <w:rsid w:val="00FE01BB"/>
    <w:rsid w:val="00FE092D"/>
    <w:rsid w:val="00FE0DA4"/>
    <w:rsid w:val="00FE109E"/>
    <w:rsid w:val="00FE140A"/>
    <w:rsid w:val="00FE2027"/>
    <w:rsid w:val="00FE2198"/>
    <w:rsid w:val="00FE2448"/>
    <w:rsid w:val="00FE25A4"/>
    <w:rsid w:val="00FE262D"/>
    <w:rsid w:val="00FE2693"/>
    <w:rsid w:val="00FE2D25"/>
    <w:rsid w:val="00FE3A1D"/>
    <w:rsid w:val="00FE3AB5"/>
    <w:rsid w:val="00FE3BC6"/>
    <w:rsid w:val="00FE3E84"/>
    <w:rsid w:val="00FE4C79"/>
    <w:rsid w:val="00FE53DB"/>
    <w:rsid w:val="00FE5476"/>
    <w:rsid w:val="00FE69BC"/>
    <w:rsid w:val="00FE6C16"/>
    <w:rsid w:val="00FE7055"/>
    <w:rsid w:val="00FE75A2"/>
    <w:rsid w:val="00FE7945"/>
    <w:rsid w:val="00FF0487"/>
    <w:rsid w:val="00FF099A"/>
    <w:rsid w:val="00FF147A"/>
    <w:rsid w:val="00FF224F"/>
    <w:rsid w:val="00FF31B1"/>
    <w:rsid w:val="00FF3FE0"/>
    <w:rsid w:val="00FF4097"/>
    <w:rsid w:val="00FF40BE"/>
    <w:rsid w:val="00FF4725"/>
    <w:rsid w:val="00FF4A97"/>
    <w:rsid w:val="00FF4C7C"/>
    <w:rsid w:val="00FF53DC"/>
    <w:rsid w:val="00FF541A"/>
    <w:rsid w:val="00FF5B27"/>
    <w:rsid w:val="00FF5C5D"/>
    <w:rsid w:val="00FF6151"/>
    <w:rsid w:val="00FF6E9A"/>
    <w:rsid w:val="00FF76A7"/>
    <w:rsid w:val="00FF7D98"/>
    <w:rsid w:val="01046BD8"/>
    <w:rsid w:val="01562EA0"/>
    <w:rsid w:val="019D58C4"/>
    <w:rsid w:val="01C306E9"/>
    <w:rsid w:val="020069BF"/>
    <w:rsid w:val="0232669F"/>
    <w:rsid w:val="025F5587"/>
    <w:rsid w:val="026156D8"/>
    <w:rsid w:val="02B4445C"/>
    <w:rsid w:val="02BA5F39"/>
    <w:rsid w:val="02D20052"/>
    <w:rsid w:val="02EF5952"/>
    <w:rsid w:val="034778E7"/>
    <w:rsid w:val="0355473F"/>
    <w:rsid w:val="03830C97"/>
    <w:rsid w:val="03BB3BD4"/>
    <w:rsid w:val="03C83038"/>
    <w:rsid w:val="03FD5AD4"/>
    <w:rsid w:val="04640C6A"/>
    <w:rsid w:val="047937E3"/>
    <w:rsid w:val="0487406C"/>
    <w:rsid w:val="05273253"/>
    <w:rsid w:val="05491600"/>
    <w:rsid w:val="05BD59A6"/>
    <w:rsid w:val="060147C0"/>
    <w:rsid w:val="060C57AC"/>
    <w:rsid w:val="06DD24B6"/>
    <w:rsid w:val="07B17636"/>
    <w:rsid w:val="07B247FF"/>
    <w:rsid w:val="07DD1772"/>
    <w:rsid w:val="07F546FF"/>
    <w:rsid w:val="08041E4E"/>
    <w:rsid w:val="08142AC7"/>
    <w:rsid w:val="085E7F22"/>
    <w:rsid w:val="089839A3"/>
    <w:rsid w:val="08DB2CC9"/>
    <w:rsid w:val="099E4B8D"/>
    <w:rsid w:val="09C1172A"/>
    <w:rsid w:val="0A30782B"/>
    <w:rsid w:val="0B247FF0"/>
    <w:rsid w:val="0B480E05"/>
    <w:rsid w:val="0B6D7AD8"/>
    <w:rsid w:val="0B7B238B"/>
    <w:rsid w:val="0B863458"/>
    <w:rsid w:val="0BAD7794"/>
    <w:rsid w:val="0BCD66B6"/>
    <w:rsid w:val="0BE255A8"/>
    <w:rsid w:val="0C2C73FE"/>
    <w:rsid w:val="0C562209"/>
    <w:rsid w:val="0C5C684E"/>
    <w:rsid w:val="0C61712F"/>
    <w:rsid w:val="0C66552E"/>
    <w:rsid w:val="0C972561"/>
    <w:rsid w:val="0CA072A0"/>
    <w:rsid w:val="0CBB4BBD"/>
    <w:rsid w:val="0CBF06C9"/>
    <w:rsid w:val="0CCD42AF"/>
    <w:rsid w:val="0D17486A"/>
    <w:rsid w:val="0D2437AC"/>
    <w:rsid w:val="0D462701"/>
    <w:rsid w:val="0DF17808"/>
    <w:rsid w:val="0E2C379B"/>
    <w:rsid w:val="0E80441C"/>
    <w:rsid w:val="0E85367C"/>
    <w:rsid w:val="0E8F4FBB"/>
    <w:rsid w:val="0EA7318F"/>
    <w:rsid w:val="0EDC0029"/>
    <w:rsid w:val="0F527571"/>
    <w:rsid w:val="0F624649"/>
    <w:rsid w:val="0FAC1677"/>
    <w:rsid w:val="0FE459AC"/>
    <w:rsid w:val="10DD6088"/>
    <w:rsid w:val="10E67251"/>
    <w:rsid w:val="10FB28A7"/>
    <w:rsid w:val="11734A9F"/>
    <w:rsid w:val="118D50F3"/>
    <w:rsid w:val="118E7548"/>
    <w:rsid w:val="119D2B04"/>
    <w:rsid w:val="11A57E37"/>
    <w:rsid w:val="11B860D9"/>
    <w:rsid w:val="11BA17B1"/>
    <w:rsid w:val="124C1F09"/>
    <w:rsid w:val="12AC1E37"/>
    <w:rsid w:val="12EC12A3"/>
    <w:rsid w:val="130C7920"/>
    <w:rsid w:val="137F2BC7"/>
    <w:rsid w:val="1389030D"/>
    <w:rsid w:val="139F12C4"/>
    <w:rsid w:val="14037690"/>
    <w:rsid w:val="15DD1458"/>
    <w:rsid w:val="16240201"/>
    <w:rsid w:val="16801BDB"/>
    <w:rsid w:val="16E5043C"/>
    <w:rsid w:val="16E555FA"/>
    <w:rsid w:val="170B74C3"/>
    <w:rsid w:val="171E1288"/>
    <w:rsid w:val="177439E1"/>
    <w:rsid w:val="18126C8F"/>
    <w:rsid w:val="182A5D95"/>
    <w:rsid w:val="187E2961"/>
    <w:rsid w:val="18965243"/>
    <w:rsid w:val="19214A73"/>
    <w:rsid w:val="19AC1445"/>
    <w:rsid w:val="19C2441E"/>
    <w:rsid w:val="1A024D47"/>
    <w:rsid w:val="1A034ACD"/>
    <w:rsid w:val="1A35146E"/>
    <w:rsid w:val="1A44380A"/>
    <w:rsid w:val="1A860F63"/>
    <w:rsid w:val="1B33184B"/>
    <w:rsid w:val="1B8C7C1B"/>
    <w:rsid w:val="1BA8634F"/>
    <w:rsid w:val="1BF95C69"/>
    <w:rsid w:val="1C1A77DC"/>
    <w:rsid w:val="1C543D90"/>
    <w:rsid w:val="1C6A40C5"/>
    <w:rsid w:val="1CE8321A"/>
    <w:rsid w:val="1CFE57F2"/>
    <w:rsid w:val="1D1552A5"/>
    <w:rsid w:val="1DC965F7"/>
    <w:rsid w:val="1E2E6BE6"/>
    <w:rsid w:val="1F532646"/>
    <w:rsid w:val="1F880D19"/>
    <w:rsid w:val="1FA404A6"/>
    <w:rsid w:val="200E2F36"/>
    <w:rsid w:val="20203A87"/>
    <w:rsid w:val="202C5FAD"/>
    <w:rsid w:val="2035747F"/>
    <w:rsid w:val="20963A14"/>
    <w:rsid w:val="21157B49"/>
    <w:rsid w:val="216F4E54"/>
    <w:rsid w:val="21A34EC0"/>
    <w:rsid w:val="21FD35ED"/>
    <w:rsid w:val="227772F0"/>
    <w:rsid w:val="22B02B58"/>
    <w:rsid w:val="22BF04BF"/>
    <w:rsid w:val="230D5928"/>
    <w:rsid w:val="234E70D1"/>
    <w:rsid w:val="239E06C2"/>
    <w:rsid w:val="23CE4A5A"/>
    <w:rsid w:val="23FE3059"/>
    <w:rsid w:val="24311891"/>
    <w:rsid w:val="244D7D29"/>
    <w:rsid w:val="24646206"/>
    <w:rsid w:val="24DC566B"/>
    <w:rsid w:val="251B24CD"/>
    <w:rsid w:val="25BB5FF3"/>
    <w:rsid w:val="26E646C5"/>
    <w:rsid w:val="27DC55E2"/>
    <w:rsid w:val="28297A31"/>
    <w:rsid w:val="288B5AA5"/>
    <w:rsid w:val="28B044B8"/>
    <w:rsid w:val="28E337D2"/>
    <w:rsid w:val="28F2461F"/>
    <w:rsid w:val="290A6B19"/>
    <w:rsid w:val="29E01201"/>
    <w:rsid w:val="2A0A3C4F"/>
    <w:rsid w:val="2A2F1179"/>
    <w:rsid w:val="2AA119D8"/>
    <w:rsid w:val="2ABB536F"/>
    <w:rsid w:val="2B1E18BB"/>
    <w:rsid w:val="2B8215B7"/>
    <w:rsid w:val="2BA83BE7"/>
    <w:rsid w:val="2BB4229A"/>
    <w:rsid w:val="2CB3383E"/>
    <w:rsid w:val="2CDE18C5"/>
    <w:rsid w:val="2D286D43"/>
    <w:rsid w:val="2D3A4C60"/>
    <w:rsid w:val="2D5C2540"/>
    <w:rsid w:val="2D700C3C"/>
    <w:rsid w:val="2DDF31F0"/>
    <w:rsid w:val="2E246D72"/>
    <w:rsid w:val="2E323322"/>
    <w:rsid w:val="2E8A056F"/>
    <w:rsid w:val="2E934EF8"/>
    <w:rsid w:val="2ECC5155"/>
    <w:rsid w:val="2F1D03B0"/>
    <w:rsid w:val="2F266162"/>
    <w:rsid w:val="2F2F2E87"/>
    <w:rsid w:val="2FD24E93"/>
    <w:rsid w:val="2FE2651E"/>
    <w:rsid w:val="301C34B0"/>
    <w:rsid w:val="30470072"/>
    <w:rsid w:val="307E7D0E"/>
    <w:rsid w:val="30A87EA9"/>
    <w:rsid w:val="30F30980"/>
    <w:rsid w:val="318238B5"/>
    <w:rsid w:val="3185303F"/>
    <w:rsid w:val="31B16D96"/>
    <w:rsid w:val="31E827A0"/>
    <w:rsid w:val="31F4402A"/>
    <w:rsid w:val="32006EAA"/>
    <w:rsid w:val="32786F3D"/>
    <w:rsid w:val="32CA0ADF"/>
    <w:rsid w:val="32E7586E"/>
    <w:rsid w:val="32FE2EE8"/>
    <w:rsid w:val="33C32895"/>
    <w:rsid w:val="343D3399"/>
    <w:rsid w:val="34430F96"/>
    <w:rsid w:val="34C54EA8"/>
    <w:rsid w:val="34FA2DDC"/>
    <w:rsid w:val="356D0241"/>
    <w:rsid w:val="356D0FD7"/>
    <w:rsid w:val="358622A0"/>
    <w:rsid w:val="358A2A46"/>
    <w:rsid w:val="36432F0A"/>
    <w:rsid w:val="369766B5"/>
    <w:rsid w:val="369D6779"/>
    <w:rsid w:val="37056A5F"/>
    <w:rsid w:val="371F1B9C"/>
    <w:rsid w:val="37485011"/>
    <w:rsid w:val="37801F2C"/>
    <w:rsid w:val="378317BA"/>
    <w:rsid w:val="38224B38"/>
    <w:rsid w:val="382A240B"/>
    <w:rsid w:val="38770F21"/>
    <w:rsid w:val="387A15BE"/>
    <w:rsid w:val="38C01BDA"/>
    <w:rsid w:val="38DA71F3"/>
    <w:rsid w:val="393047EA"/>
    <w:rsid w:val="393869A9"/>
    <w:rsid w:val="39424908"/>
    <w:rsid w:val="395733A7"/>
    <w:rsid w:val="397F1BC5"/>
    <w:rsid w:val="39BC7FAB"/>
    <w:rsid w:val="39F87F88"/>
    <w:rsid w:val="3A03511D"/>
    <w:rsid w:val="3A3B1867"/>
    <w:rsid w:val="3A5A730E"/>
    <w:rsid w:val="3B5A62DB"/>
    <w:rsid w:val="3BB8499E"/>
    <w:rsid w:val="3CB43448"/>
    <w:rsid w:val="3CD625EC"/>
    <w:rsid w:val="3D007BD9"/>
    <w:rsid w:val="3D0E7972"/>
    <w:rsid w:val="3D155086"/>
    <w:rsid w:val="3DA7535D"/>
    <w:rsid w:val="3DFD04F8"/>
    <w:rsid w:val="3E1E3F1E"/>
    <w:rsid w:val="3EA43471"/>
    <w:rsid w:val="3EC05B26"/>
    <w:rsid w:val="3EF54ABB"/>
    <w:rsid w:val="3F3B4A53"/>
    <w:rsid w:val="3F573C66"/>
    <w:rsid w:val="4040569E"/>
    <w:rsid w:val="40962B62"/>
    <w:rsid w:val="409D5481"/>
    <w:rsid w:val="40A34D70"/>
    <w:rsid w:val="40C7599A"/>
    <w:rsid w:val="40EC1476"/>
    <w:rsid w:val="41426932"/>
    <w:rsid w:val="41665ACC"/>
    <w:rsid w:val="41A57E2D"/>
    <w:rsid w:val="41C95041"/>
    <w:rsid w:val="41F83806"/>
    <w:rsid w:val="430C1994"/>
    <w:rsid w:val="432217AB"/>
    <w:rsid w:val="437101FA"/>
    <w:rsid w:val="43CF7FD9"/>
    <w:rsid w:val="44016ADA"/>
    <w:rsid w:val="442A2B16"/>
    <w:rsid w:val="445D1A58"/>
    <w:rsid w:val="44D221AD"/>
    <w:rsid w:val="456643B7"/>
    <w:rsid w:val="45863AE5"/>
    <w:rsid w:val="45940D44"/>
    <w:rsid w:val="45AD3B01"/>
    <w:rsid w:val="467F6B13"/>
    <w:rsid w:val="46952A9E"/>
    <w:rsid w:val="46BC7EB6"/>
    <w:rsid w:val="47484E7B"/>
    <w:rsid w:val="47547E74"/>
    <w:rsid w:val="47606345"/>
    <w:rsid w:val="47C97A0F"/>
    <w:rsid w:val="47CB2CEA"/>
    <w:rsid w:val="484B4638"/>
    <w:rsid w:val="487D4E2F"/>
    <w:rsid w:val="48813680"/>
    <w:rsid w:val="489648CE"/>
    <w:rsid w:val="48ED07BD"/>
    <w:rsid w:val="48F0369F"/>
    <w:rsid w:val="49B3084A"/>
    <w:rsid w:val="4A032A58"/>
    <w:rsid w:val="4A066E6F"/>
    <w:rsid w:val="4A351247"/>
    <w:rsid w:val="4A3570A9"/>
    <w:rsid w:val="4A5E77D8"/>
    <w:rsid w:val="4A6C5F92"/>
    <w:rsid w:val="4AA230EC"/>
    <w:rsid w:val="4AA84FC7"/>
    <w:rsid w:val="4AF74EEB"/>
    <w:rsid w:val="4B066537"/>
    <w:rsid w:val="4B731DC4"/>
    <w:rsid w:val="4B7731A8"/>
    <w:rsid w:val="4B803E12"/>
    <w:rsid w:val="4BA33214"/>
    <w:rsid w:val="4BE577FD"/>
    <w:rsid w:val="4C4E1254"/>
    <w:rsid w:val="4C5D5AA3"/>
    <w:rsid w:val="4CBA70DF"/>
    <w:rsid w:val="4D11311A"/>
    <w:rsid w:val="4D4372D5"/>
    <w:rsid w:val="4D77116B"/>
    <w:rsid w:val="4DCF0D6B"/>
    <w:rsid w:val="4EB14D7A"/>
    <w:rsid w:val="4EC82E2C"/>
    <w:rsid w:val="4F762E55"/>
    <w:rsid w:val="4F7F70B2"/>
    <w:rsid w:val="4F941AF2"/>
    <w:rsid w:val="4FB41B8C"/>
    <w:rsid w:val="4FD7305D"/>
    <w:rsid w:val="50792A4C"/>
    <w:rsid w:val="50AF67CC"/>
    <w:rsid w:val="510E04A5"/>
    <w:rsid w:val="51230945"/>
    <w:rsid w:val="51291D20"/>
    <w:rsid w:val="516007AF"/>
    <w:rsid w:val="517442B9"/>
    <w:rsid w:val="51781DA6"/>
    <w:rsid w:val="51CC6C9A"/>
    <w:rsid w:val="522709DC"/>
    <w:rsid w:val="52754788"/>
    <w:rsid w:val="52CE4E98"/>
    <w:rsid w:val="532B462D"/>
    <w:rsid w:val="53891770"/>
    <w:rsid w:val="538D1A3D"/>
    <w:rsid w:val="539107B8"/>
    <w:rsid w:val="53BA0FC9"/>
    <w:rsid w:val="5442465C"/>
    <w:rsid w:val="54537ACF"/>
    <w:rsid w:val="5486359C"/>
    <w:rsid w:val="54F06A84"/>
    <w:rsid w:val="55435FC6"/>
    <w:rsid w:val="56755EF7"/>
    <w:rsid w:val="56937D37"/>
    <w:rsid w:val="56E3659B"/>
    <w:rsid w:val="578A53AD"/>
    <w:rsid w:val="58337B61"/>
    <w:rsid w:val="58A74093"/>
    <w:rsid w:val="58BF2417"/>
    <w:rsid w:val="592A6612"/>
    <w:rsid w:val="59331B3C"/>
    <w:rsid w:val="59AD757B"/>
    <w:rsid w:val="59AF554D"/>
    <w:rsid w:val="59BF30C1"/>
    <w:rsid w:val="59DB0A57"/>
    <w:rsid w:val="59E365DF"/>
    <w:rsid w:val="59F34321"/>
    <w:rsid w:val="5A0A07B9"/>
    <w:rsid w:val="5A4C0844"/>
    <w:rsid w:val="5AA54072"/>
    <w:rsid w:val="5AEB4AC7"/>
    <w:rsid w:val="5B761AF0"/>
    <w:rsid w:val="5BFA08CB"/>
    <w:rsid w:val="5BFD1684"/>
    <w:rsid w:val="5BFD6DF8"/>
    <w:rsid w:val="5C22591D"/>
    <w:rsid w:val="5CCC239F"/>
    <w:rsid w:val="5CEE23BD"/>
    <w:rsid w:val="5DA44084"/>
    <w:rsid w:val="5DE05D9D"/>
    <w:rsid w:val="5E0058D5"/>
    <w:rsid w:val="5E622128"/>
    <w:rsid w:val="5ECD48A6"/>
    <w:rsid w:val="5F167537"/>
    <w:rsid w:val="5FA77567"/>
    <w:rsid w:val="600414AB"/>
    <w:rsid w:val="604F6EA2"/>
    <w:rsid w:val="60CB5173"/>
    <w:rsid w:val="60E13B6E"/>
    <w:rsid w:val="61647459"/>
    <w:rsid w:val="61DF4F6A"/>
    <w:rsid w:val="62A32B80"/>
    <w:rsid w:val="62B841B2"/>
    <w:rsid w:val="632A5C80"/>
    <w:rsid w:val="636463D6"/>
    <w:rsid w:val="63833CAA"/>
    <w:rsid w:val="63BD0DAD"/>
    <w:rsid w:val="63C85A22"/>
    <w:rsid w:val="63E47814"/>
    <w:rsid w:val="642C5918"/>
    <w:rsid w:val="6430758A"/>
    <w:rsid w:val="648D71BA"/>
    <w:rsid w:val="64AF327F"/>
    <w:rsid w:val="64BC4764"/>
    <w:rsid w:val="65EA0C9B"/>
    <w:rsid w:val="6617396B"/>
    <w:rsid w:val="661E3664"/>
    <w:rsid w:val="664468EB"/>
    <w:rsid w:val="66547D67"/>
    <w:rsid w:val="665D7DF7"/>
    <w:rsid w:val="66AD5267"/>
    <w:rsid w:val="66AF0A21"/>
    <w:rsid w:val="66CF0B45"/>
    <w:rsid w:val="66E57EB8"/>
    <w:rsid w:val="681233B5"/>
    <w:rsid w:val="681769B0"/>
    <w:rsid w:val="682B1FF7"/>
    <w:rsid w:val="68484C23"/>
    <w:rsid w:val="6881031F"/>
    <w:rsid w:val="68896E51"/>
    <w:rsid w:val="68D03904"/>
    <w:rsid w:val="692D78F9"/>
    <w:rsid w:val="6976634B"/>
    <w:rsid w:val="69C52608"/>
    <w:rsid w:val="6A013402"/>
    <w:rsid w:val="6A5626FE"/>
    <w:rsid w:val="6A8400F9"/>
    <w:rsid w:val="6AF2058D"/>
    <w:rsid w:val="6B5656FE"/>
    <w:rsid w:val="6B766323"/>
    <w:rsid w:val="6BB55A34"/>
    <w:rsid w:val="6BCF1B00"/>
    <w:rsid w:val="6C63755E"/>
    <w:rsid w:val="6CD65B33"/>
    <w:rsid w:val="6CF2162F"/>
    <w:rsid w:val="6D2852C3"/>
    <w:rsid w:val="6D643474"/>
    <w:rsid w:val="6E665F0A"/>
    <w:rsid w:val="6E770E64"/>
    <w:rsid w:val="6F05741D"/>
    <w:rsid w:val="6FA81530"/>
    <w:rsid w:val="703937F5"/>
    <w:rsid w:val="70E805B8"/>
    <w:rsid w:val="71215668"/>
    <w:rsid w:val="71630E77"/>
    <w:rsid w:val="717528A6"/>
    <w:rsid w:val="718D5E65"/>
    <w:rsid w:val="71BB4E95"/>
    <w:rsid w:val="71C0153B"/>
    <w:rsid w:val="72045A14"/>
    <w:rsid w:val="726C4612"/>
    <w:rsid w:val="726C61ED"/>
    <w:rsid w:val="728153FB"/>
    <w:rsid w:val="72955EDB"/>
    <w:rsid w:val="72F86FC4"/>
    <w:rsid w:val="73167184"/>
    <w:rsid w:val="734E2A35"/>
    <w:rsid w:val="735017F9"/>
    <w:rsid w:val="73B944B0"/>
    <w:rsid w:val="74085B4B"/>
    <w:rsid w:val="74130323"/>
    <w:rsid w:val="751A40DC"/>
    <w:rsid w:val="757D727D"/>
    <w:rsid w:val="75BC6D44"/>
    <w:rsid w:val="75C33858"/>
    <w:rsid w:val="75D47CDA"/>
    <w:rsid w:val="762255DC"/>
    <w:rsid w:val="766A6BB8"/>
    <w:rsid w:val="767D493A"/>
    <w:rsid w:val="76A5387A"/>
    <w:rsid w:val="76E00477"/>
    <w:rsid w:val="76E3031E"/>
    <w:rsid w:val="76FC79DB"/>
    <w:rsid w:val="774015CA"/>
    <w:rsid w:val="77406282"/>
    <w:rsid w:val="775F7B47"/>
    <w:rsid w:val="77681E6E"/>
    <w:rsid w:val="77862663"/>
    <w:rsid w:val="77DA1C69"/>
    <w:rsid w:val="78134CD6"/>
    <w:rsid w:val="79283BDB"/>
    <w:rsid w:val="79420D78"/>
    <w:rsid w:val="795C2D9B"/>
    <w:rsid w:val="79B6079F"/>
    <w:rsid w:val="79CC3F22"/>
    <w:rsid w:val="7A256DFF"/>
    <w:rsid w:val="7A5E5A23"/>
    <w:rsid w:val="7A882FBD"/>
    <w:rsid w:val="7AC93256"/>
    <w:rsid w:val="7ACC5286"/>
    <w:rsid w:val="7B2253FD"/>
    <w:rsid w:val="7B297C72"/>
    <w:rsid w:val="7B4E5B66"/>
    <w:rsid w:val="7B693261"/>
    <w:rsid w:val="7B8F442C"/>
    <w:rsid w:val="7C52594D"/>
    <w:rsid w:val="7C7C6BFE"/>
    <w:rsid w:val="7C8E0112"/>
    <w:rsid w:val="7D11662B"/>
    <w:rsid w:val="7D5B3A4F"/>
    <w:rsid w:val="7D8521A1"/>
    <w:rsid w:val="7DA51F09"/>
    <w:rsid w:val="7DAD060E"/>
    <w:rsid w:val="7DC653BD"/>
    <w:rsid w:val="7DEB4006"/>
    <w:rsid w:val="7E417A75"/>
    <w:rsid w:val="7E57738C"/>
    <w:rsid w:val="7E6F6D8C"/>
    <w:rsid w:val="7E845348"/>
    <w:rsid w:val="7ED44E0B"/>
    <w:rsid w:val="7ED66BA1"/>
    <w:rsid w:val="7F937990"/>
    <w:rsid w:val="7FE20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360" w:lineRule="exact"/>
      <w:outlineLvl w:val="0"/>
    </w:pPr>
    <w:rPr>
      <w:rFonts w:eastAsia="黑体"/>
      <w:b/>
      <w:bCs/>
      <w:kern w:val="44"/>
      <w:sz w:val="30"/>
      <w:szCs w:val="44"/>
    </w:rPr>
  </w:style>
  <w:style w:type="paragraph" w:styleId="3">
    <w:name w:val="heading 2"/>
    <w:basedOn w:val="1"/>
    <w:next w:val="4"/>
    <w:unhideWhenUsed/>
    <w:qFormat/>
    <w:uiPriority w:val="0"/>
    <w:pPr>
      <w:keepNext/>
      <w:keepLines/>
      <w:numPr>
        <w:ilvl w:val="1"/>
        <w:numId w:val="1"/>
      </w:numPr>
      <w:adjustRightInd w:val="0"/>
      <w:snapToGrid w:val="0"/>
      <w:spacing w:line="360" w:lineRule="auto"/>
      <w:outlineLvl w:val="1"/>
    </w:pPr>
    <w:rPr>
      <w:rFonts w:eastAsia="黑体"/>
      <w:bCs/>
      <w:sz w:val="24"/>
      <w:szCs w:val="32"/>
    </w:rPr>
  </w:style>
  <w:style w:type="paragraph" w:styleId="6">
    <w:name w:val="heading 3"/>
    <w:basedOn w:val="1"/>
    <w:next w:val="4"/>
    <w:unhideWhenUsed/>
    <w:qFormat/>
    <w:uiPriority w:val="0"/>
    <w:pPr>
      <w:keepNext/>
      <w:keepLines/>
      <w:numPr>
        <w:ilvl w:val="2"/>
        <w:numId w:val="1"/>
      </w:numPr>
      <w:adjustRightInd w:val="0"/>
      <w:snapToGrid w:val="0"/>
      <w:spacing w:line="360" w:lineRule="auto"/>
      <w:outlineLvl w:val="2"/>
    </w:pPr>
    <w:rPr>
      <w:bCs/>
      <w:sz w:val="24"/>
      <w:szCs w:val="32"/>
    </w:rPr>
  </w:style>
  <w:style w:type="character" w:default="1" w:styleId="27">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4">
    <w:name w:val="Body Text First Indent"/>
    <w:basedOn w:val="5"/>
    <w:link w:val="68"/>
    <w:qFormat/>
    <w:uiPriority w:val="99"/>
    <w:pPr>
      <w:adjustRightInd w:val="0"/>
      <w:snapToGrid w:val="0"/>
      <w:spacing w:line="360" w:lineRule="auto"/>
      <w:ind w:firstLine="1446" w:firstLineChars="200"/>
    </w:pPr>
    <w:rPr>
      <w:sz w:val="24"/>
    </w:rPr>
  </w:style>
  <w:style w:type="paragraph" w:styleId="5">
    <w:name w:val="Body Text"/>
    <w:basedOn w:val="1"/>
    <w:qFormat/>
    <w:uiPriority w:val="0"/>
    <w:pPr>
      <w:spacing w:after="120"/>
    </w:pPr>
  </w:style>
  <w:style w:type="paragraph" w:styleId="7">
    <w:name w:val="Normal Indent"/>
    <w:basedOn w:val="1"/>
    <w:qFormat/>
    <w:uiPriority w:val="0"/>
    <w:pPr>
      <w:tabs>
        <w:tab w:val="left" w:pos="1036"/>
      </w:tabs>
      <w:autoSpaceDE w:val="0"/>
      <w:autoSpaceDN w:val="0"/>
      <w:adjustRightInd w:val="0"/>
      <w:spacing w:before="120" w:line="360" w:lineRule="exact"/>
      <w:ind w:firstLine="425"/>
    </w:pPr>
    <w:rPr>
      <w:kern w:val="0"/>
      <w:sz w:val="24"/>
      <w:szCs w:val="20"/>
    </w:rPr>
  </w:style>
  <w:style w:type="paragraph" w:styleId="8">
    <w:name w:val="caption"/>
    <w:basedOn w:val="1"/>
    <w:next w:val="1"/>
    <w:unhideWhenUsed/>
    <w:qFormat/>
    <w:uiPriority w:val="0"/>
    <w:pPr>
      <w:adjustRightInd w:val="0"/>
      <w:snapToGrid w:val="0"/>
      <w:spacing w:line="360" w:lineRule="auto"/>
      <w:jc w:val="left"/>
    </w:pPr>
    <w:rPr>
      <w:rFonts w:eastAsia="黑体"/>
      <w:sz w:val="24"/>
    </w:rPr>
  </w:style>
  <w:style w:type="paragraph" w:styleId="9">
    <w:name w:val="annotation text"/>
    <w:basedOn w:val="1"/>
    <w:link w:val="42"/>
    <w:qFormat/>
    <w:uiPriority w:val="0"/>
    <w:pPr>
      <w:jc w:val="left"/>
    </w:pPr>
  </w:style>
  <w:style w:type="paragraph" w:styleId="10">
    <w:name w:val="List 2"/>
    <w:basedOn w:val="1"/>
    <w:qFormat/>
    <w:uiPriority w:val="0"/>
    <w:pPr>
      <w:adjustRightInd w:val="0"/>
      <w:ind w:left="840" w:hanging="420"/>
      <w:textAlignment w:val="baseline"/>
    </w:pPr>
    <w:rPr>
      <w:kern w:val="0"/>
      <w:sz w:val="24"/>
      <w:szCs w:val="20"/>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szCs w:val="20"/>
    </w:rPr>
  </w:style>
  <w:style w:type="paragraph" w:styleId="13">
    <w:name w:val="Body Text Indent 2"/>
    <w:basedOn w:val="1"/>
    <w:link w:val="56"/>
    <w:qFormat/>
    <w:uiPriority w:val="0"/>
    <w:pPr>
      <w:spacing w:after="120" w:line="480" w:lineRule="auto"/>
      <w:ind w:left="420" w:leftChars="200"/>
    </w:pPr>
  </w:style>
  <w:style w:type="paragraph" w:styleId="14">
    <w:name w:val="Balloon Text"/>
    <w:basedOn w:val="1"/>
    <w:link w:val="41"/>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Subtitle"/>
    <w:basedOn w:val="1"/>
    <w:next w:val="1"/>
    <w:link w:val="61"/>
    <w:qFormat/>
    <w:uiPriority w:val="0"/>
    <w:pPr>
      <w:spacing w:line="340" w:lineRule="exact"/>
      <w:jc w:val="center"/>
      <w:outlineLvl w:val="1"/>
    </w:pPr>
    <w:rPr>
      <w:rFonts w:ascii="Times New Roman" w:hAnsi="Times New Roman" w:eastAsia="宋体" w:cs="Times New Roman"/>
      <w:bCs/>
      <w:kern w:val="28"/>
      <w:szCs w:val="32"/>
    </w:rPr>
  </w:style>
  <w:style w:type="paragraph" w:styleId="19">
    <w:name w:val="List"/>
    <w:basedOn w:val="1"/>
    <w:qFormat/>
    <w:uiPriority w:val="0"/>
    <w:pPr>
      <w:ind w:left="200" w:hanging="200" w:hangingChars="200"/>
    </w:pPr>
  </w:style>
  <w:style w:type="paragraph" w:styleId="20">
    <w:name w:val="toc 2"/>
    <w:basedOn w:val="1"/>
    <w:next w:val="1"/>
    <w:qFormat/>
    <w:uiPriority w:val="39"/>
    <w:pPr>
      <w:ind w:left="420" w:leftChars="200"/>
    </w:pPr>
  </w:style>
  <w:style w:type="paragraph" w:styleId="21">
    <w:name w:val="Body Text 2"/>
    <w:basedOn w:val="1"/>
    <w:qFormat/>
    <w:uiPriority w:val="0"/>
    <w:pPr>
      <w:spacing w:after="120" w:line="480" w:lineRule="auto"/>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2"/>
    <w:qFormat/>
    <w:uiPriority w:val="0"/>
    <w:pPr>
      <w:spacing w:beforeLines="50" w:line="360" w:lineRule="auto"/>
      <w:jc w:val="center"/>
    </w:pPr>
    <w:rPr>
      <w:rFonts w:ascii="Times New Roman" w:hAnsi="Times New Roman" w:eastAsia="黑体" w:cs="Times New Roman"/>
      <w:bCs/>
      <w:kern w:val="0"/>
      <w:sz w:val="24"/>
      <w:szCs w:val="32"/>
    </w:rPr>
  </w:style>
  <w:style w:type="paragraph" w:styleId="24">
    <w:name w:val="annotation subject"/>
    <w:basedOn w:val="9"/>
    <w:next w:val="9"/>
    <w:link w:val="43"/>
    <w:qFormat/>
    <w:uiPriority w:val="0"/>
    <w:rPr>
      <w:b/>
      <w:bCs/>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8">
    <w:name w:val="page number"/>
    <w:basedOn w:val="27"/>
    <w:qFormat/>
    <w:uiPriority w:val="0"/>
  </w:style>
  <w:style w:type="character" w:styleId="29">
    <w:name w:val="Hyperlink"/>
    <w:basedOn w:val="27"/>
    <w:qFormat/>
    <w:uiPriority w:val="99"/>
    <w:rPr>
      <w:color w:val="136EC2"/>
      <w:u w:val="single"/>
    </w:rPr>
  </w:style>
  <w:style w:type="character" w:styleId="30">
    <w:name w:val="annotation reference"/>
    <w:basedOn w:val="27"/>
    <w:qFormat/>
    <w:uiPriority w:val="0"/>
    <w:rPr>
      <w:sz w:val="21"/>
      <w:szCs w:val="21"/>
    </w:rPr>
  </w:style>
  <w:style w:type="paragraph" w:customStyle="1" w:styleId="31">
    <w:name w:val="正文20110920"/>
    <w:basedOn w:val="32"/>
    <w:qFormat/>
    <w:uiPriority w:val="0"/>
    <w:pPr>
      <w:ind w:firstLine="480"/>
    </w:pPr>
    <w:rPr>
      <w:rFonts w:ascii="Times New Roman" w:hAnsi="Times New Roman"/>
      <w:color w:val="000000"/>
      <w:szCs w:val="24"/>
    </w:rPr>
  </w:style>
  <w:style w:type="paragraph" w:customStyle="1" w:styleId="32">
    <w:name w:val="样式 正文20110824 + 宋体 首行缩进:  2 字符"/>
    <w:basedOn w:val="1"/>
    <w:qFormat/>
    <w:uiPriority w:val="0"/>
    <w:pPr>
      <w:spacing w:line="360" w:lineRule="auto"/>
      <w:ind w:firstLine="200" w:firstLineChars="200"/>
    </w:pPr>
    <w:rPr>
      <w:rFonts w:ascii="宋体" w:hAnsi="宋体" w:cs="宋体"/>
      <w:sz w:val="24"/>
      <w:szCs w:val="20"/>
    </w:rPr>
  </w:style>
  <w:style w:type="paragraph" w:customStyle="1" w:styleId="33">
    <w:name w:val="表格标题20110824"/>
    <w:basedOn w:val="1"/>
    <w:qFormat/>
    <w:uiPriority w:val="0"/>
    <w:pPr>
      <w:spacing w:before="156" w:beforeLines="50"/>
      <w:jc w:val="center"/>
    </w:pPr>
    <w:rPr>
      <w:rFonts w:ascii="黑体" w:eastAsia="黑体"/>
      <w:b/>
      <w:bCs/>
      <w:sz w:val="24"/>
    </w:rPr>
  </w:style>
  <w:style w:type="paragraph" w:customStyle="1" w:styleId="34">
    <w:name w:val="表格内文字"/>
    <w:basedOn w:val="1"/>
    <w:qFormat/>
    <w:uiPriority w:val="0"/>
    <w:pPr>
      <w:tabs>
        <w:tab w:val="left" w:pos="0"/>
      </w:tabs>
      <w:adjustRightInd w:val="0"/>
      <w:snapToGrid w:val="0"/>
      <w:ind w:left="-113" w:right="-113"/>
      <w:jc w:val="center"/>
    </w:pPr>
    <w:rPr>
      <w:rFonts w:ascii="仿宋_GB2312" w:eastAsia="仿宋_GB2312"/>
      <w:kern w:val="21"/>
      <w:sz w:val="24"/>
    </w:rPr>
  </w:style>
  <w:style w:type="paragraph" w:customStyle="1" w:styleId="35">
    <w:name w:val="表1"/>
    <w:next w:val="1"/>
    <w:qFormat/>
    <w:uiPriority w:val="0"/>
    <w:pPr>
      <w:adjustRightInd w:val="0"/>
      <w:snapToGrid w:val="0"/>
      <w:jc w:val="center"/>
    </w:pPr>
    <w:rPr>
      <w:rFonts w:asciiTheme="minorHAnsi" w:hAnsiTheme="minorHAnsi" w:eastAsiaTheme="minorEastAsia" w:cstheme="minorBidi"/>
      <w:sz w:val="21"/>
      <w:szCs w:val="22"/>
      <w:lang w:val="en-US" w:eastAsia="zh-CN" w:bidi="ar-SA"/>
    </w:rPr>
  </w:style>
  <w:style w:type="paragraph" w:customStyle="1" w:styleId="36">
    <w:name w:val="正文20110824"/>
    <w:basedOn w:val="1"/>
    <w:qFormat/>
    <w:uiPriority w:val="0"/>
    <w:pPr>
      <w:spacing w:line="360" w:lineRule="auto"/>
      <w:ind w:firstLine="200" w:firstLineChars="200"/>
    </w:pPr>
    <w:rPr>
      <w:color w:val="000000"/>
      <w:sz w:val="24"/>
    </w:rPr>
  </w:style>
  <w:style w:type="paragraph" w:customStyle="1" w:styleId="37">
    <w:name w:val="表格内正文"/>
    <w:qFormat/>
    <w:uiPriority w:val="0"/>
    <w:rPr>
      <w:rFonts w:ascii="Times New Roman" w:hAnsi="Times New Roman" w:eastAsiaTheme="minorEastAsia" w:cstheme="minorBidi"/>
      <w:spacing w:val="4"/>
      <w:kern w:val="18"/>
      <w:sz w:val="21"/>
      <w:szCs w:val="24"/>
      <w:lang w:val="en-US" w:eastAsia="zh-CN" w:bidi="ar-SA"/>
    </w:rPr>
  </w:style>
  <w:style w:type="paragraph" w:customStyle="1" w:styleId="38">
    <w:name w:val="表头"/>
    <w:basedOn w:val="1"/>
    <w:qFormat/>
    <w:uiPriority w:val="0"/>
    <w:pPr>
      <w:spacing w:before="50" w:beforeLines="50"/>
      <w:jc w:val="center"/>
    </w:pPr>
    <w:rPr>
      <w:rFonts w:ascii="Times New Roman" w:hAnsi="Times New Roman" w:eastAsia="宋体"/>
      <w:b/>
      <w:color w:val="000000"/>
    </w:rPr>
  </w:style>
  <w:style w:type="paragraph" w:customStyle="1" w:styleId="39">
    <w:name w:val="正文1"/>
    <w:qFormat/>
    <w:uiPriority w:val="0"/>
    <w:pPr>
      <w:jc w:val="both"/>
    </w:pPr>
    <w:rPr>
      <w:rFonts w:asciiTheme="minorHAnsi" w:hAnsiTheme="minorHAnsi" w:eastAsiaTheme="minorEastAsia" w:cstheme="minorBidi"/>
      <w:kern w:val="2"/>
      <w:sz w:val="21"/>
      <w:szCs w:val="21"/>
      <w:lang w:val="en-US" w:eastAsia="zh-CN" w:bidi="ar-SA"/>
    </w:rPr>
  </w:style>
  <w:style w:type="paragraph" w:customStyle="1" w:styleId="40">
    <w:name w:val="表文字"/>
    <w:basedOn w:val="1"/>
    <w:qFormat/>
    <w:uiPriority w:val="0"/>
    <w:pPr>
      <w:overflowPunct w:val="0"/>
      <w:autoSpaceDE w:val="0"/>
      <w:autoSpaceDN w:val="0"/>
      <w:adjustRightInd w:val="0"/>
      <w:spacing w:line="240" w:lineRule="atLeast"/>
      <w:jc w:val="center"/>
      <w:textAlignment w:val="baseline"/>
    </w:pPr>
    <w:rPr>
      <w:kern w:val="0"/>
      <w:szCs w:val="21"/>
    </w:rPr>
  </w:style>
  <w:style w:type="character" w:customStyle="1" w:styleId="41">
    <w:name w:val="批注框文本 Char"/>
    <w:basedOn w:val="27"/>
    <w:link w:val="14"/>
    <w:qFormat/>
    <w:uiPriority w:val="0"/>
    <w:rPr>
      <w:rFonts w:asciiTheme="minorHAnsi" w:hAnsiTheme="minorHAnsi" w:eastAsiaTheme="minorEastAsia" w:cstheme="minorBidi"/>
      <w:kern w:val="2"/>
      <w:sz w:val="18"/>
      <w:szCs w:val="18"/>
    </w:rPr>
  </w:style>
  <w:style w:type="character" w:customStyle="1" w:styleId="42">
    <w:name w:val="批注文字 Char"/>
    <w:basedOn w:val="27"/>
    <w:link w:val="9"/>
    <w:qFormat/>
    <w:uiPriority w:val="0"/>
    <w:rPr>
      <w:rFonts w:asciiTheme="minorHAnsi" w:hAnsiTheme="minorHAnsi" w:eastAsiaTheme="minorEastAsia" w:cstheme="minorBidi"/>
      <w:kern w:val="2"/>
      <w:sz w:val="21"/>
      <w:szCs w:val="24"/>
    </w:rPr>
  </w:style>
  <w:style w:type="character" w:customStyle="1" w:styleId="43">
    <w:name w:val="批注主题 Char"/>
    <w:basedOn w:val="42"/>
    <w:link w:val="24"/>
    <w:qFormat/>
    <w:uiPriority w:val="0"/>
    <w:rPr>
      <w:rFonts w:asciiTheme="minorHAnsi" w:hAnsiTheme="minorHAnsi" w:eastAsiaTheme="minorEastAsia" w:cstheme="minorBidi"/>
      <w:b/>
      <w:bCs/>
      <w:kern w:val="2"/>
      <w:sz w:val="21"/>
      <w:szCs w:val="24"/>
    </w:rPr>
  </w:style>
  <w:style w:type="paragraph" w:customStyle="1" w:styleId="44">
    <w:name w:val="表格标题"/>
    <w:basedOn w:val="8"/>
    <w:qFormat/>
    <w:uiPriority w:val="0"/>
    <w:pPr>
      <w:jc w:val="center"/>
    </w:pPr>
    <w:rPr>
      <w:rFonts w:ascii="Times New Roman" w:hAnsi="Times New Roman" w:eastAsia="宋体" w:cs="Arial"/>
      <w:b/>
      <w:sz w:val="21"/>
    </w:rPr>
  </w:style>
  <w:style w:type="paragraph" w:customStyle="1" w:styleId="45">
    <w:name w:val="表格表头"/>
    <w:basedOn w:val="46"/>
    <w:qFormat/>
    <w:uiPriority w:val="0"/>
    <w:rPr>
      <w:b/>
    </w:rPr>
  </w:style>
  <w:style w:type="paragraph" w:customStyle="1" w:styleId="46">
    <w:name w:val="表格内容"/>
    <w:basedOn w:val="44"/>
    <w:link w:val="70"/>
    <w:qFormat/>
    <w:uiPriority w:val="0"/>
    <w:pPr>
      <w:spacing w:line="240" w:lineRule="auto"/>
    </w:pPr>
    <w:rPr>
      <w:rFonts w:eastAsia="楷体_GB2312"/>
      <w:b w:val="0"/>
    </w:rPr>
  </w:style>
  <w:style w:type="paragraph" w:customStyle="1" w:styleId="47">
    <w:name w:val="表格式"/>
    <w:basedOn w:val="19"/>
    <w:qFormat/>
    <w:uiPriority w:val="0"/>
    <w:pPr>
      <w:spacing w:line="340" w:lineRule="exact"/>
      <w:ind w:left="0" w:firstLine="0" w:firstLineChars="0"/>
      <w:jc w:val="center"/>
    </w:pPr>
    <w:rPr>
      <w:rFonts w:ascii="宋体" w:hAnsi="宋体"/>
    </w:rPr>
  </w:style>
  <w:style w:type="paragraph" w:customStyle="1" w:styleId="48">
    <w:name w:val="表格文字"/>
    <w:basedOn w:val="4"/>
    <w:link w:val="65"/>
    <w:qFormat/>
    <w:uiPriority w:val="0"/>
    <w:pPr>
      <w:spacing w:line="240" w:lineRule="auto"/>
      <w:ind w:firstLine="0" w:firstLineChars="0"/>
      <w:jc w:val="center"/>
    </w:pPr>
    <w:rPr>
      <w:sz w:val="21"/>
    </w:rPr>
  </w:style>
  <w:style w:type="paragraph" w:customStyle="1" w:styleId="49">
    <w:name w:val="列出段落1"/>
    <w:basedOn w:val="1"/>
    <w:unhideWhenUsed/>
    <w:qFormat/>
    <w:uiPriority w:val="99"/>
    <w:pPr>
      <w:ind w:firstLine="420" w:firstLineChars="200"/>
    </w:pPr>
  </w:style>
  <w:style w:type="paragraph" w:customStyle="1" w:styleId="50">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51">
    <w:name w:val="Default"/>
    <w:unhideWhenUsed/>
    <w:qFormat/>
    <w:uiPriority w:val="99"/>
    <w:pPr>
      <w:widowControl w:val="0"/>
      <w:autoSpaceDE w:val="0"/>
      <w:autoSpaceDN w:val="0"/>
      <w:adjustRightInd w:val="0"/>
    </w:pPr>
    <w:rPr>
      <w:rFonts w:hint="eastAsia" w:eastAsia="Times New Roman" w:asciiTheme="minorHAnsi" w:hAnsiTheme="minorHAnsi" w:cstheme="minorBidi"/>
      <w:color w:val="000000"/>
      <w:sz w:val="24"/>
      <w:szCs w:val="22"/>
      <w:lang w:val="en-US" w:eastAsia="zh-CN" w:bidi="ar-SA"/>
    </w:rPr>
  </w:style>
  <w:style w:type="paragraph" w:customStyle="1" w:styleId="52">
    <w:name w:val="Table Paragraph"/>
    <w:basedOn w:val="1"/>
    <w:qFormat/>
    <w:uiPriority w:val="1"/>
    <w:pPr>
      <w:autoSpaceDE w:val="0"/>
      <w:autoSpaceDN w:val="0"/>
      <w:adjustRightInd w:val="0"/>
      <w:jc w:val="left"/>
    </w:pPr>
    <w:rPr>
      <w:rFonts w:ascii="Times New Roman" w:hAnsi="Times New Roman" w:eastAsia="宋体" w:cs="Times New Roman"/>
      <w:kern w:val="0"/>
      <w:sz w:val="24"/>
    </w:rPr>
  </w:style>
  <w:style w:type="paragraph" w:customStyle="1" w:styleId="53">
    <w:name w:val="列出段落2"/>
    <w:basedOn w:val="1"/>
    <w:unhideWhenUsed/>
    <w:qFormat/>
    <w:uiPriority w:val="99"/>
    <w:pPr>
      <w:ind w:firstLine="420" w:firstLineChars="200"/>
    </w:pPr>
  </w:style>
  <w:style w:type="paragraph" w:customStyle="1" w:styleId="54">
    <w:name w:val="表格内容-WJG"/>
    <w:basedOn w:val="1"/>
    <w:qFormat/>
    <w:uiPriority w:val="0"/>
    <w:pPr>
      <w:adjustRightInd w:val="0"/>
      <w:jc w:val="center"/>
    </w:pPr>
    <w:rPr>
      <w:rFonts w:ascii="Times New Roman" w:hAnsi="Times New Roman" w:eastAsia="宋体" w:cs="Times New Roman"/>
      <w:kern w:val="28"/>
      <w:position w:val="-24"/>
      <w:szCs w:val="21"/>
    </w:rPr>
  </w:style>
  <w:style w:type="paragraph" w:customStyle="1" w:styleId="55">
    <w:name w:val="列出段落21"/>
    <w:basedOn w:val="1"/>
    <w:unhideWhenUsed/>
    <w:qFormat/>
    <w:uiPriority w:val="99"/>
    <w:pPr>
      <w:ind w:firstLine="420" w:firstLineChars="200"/>
    </w:pPr>
  </w:style>
  <w:style w:type="character" w:customStyle="1" w:styleId="56">
    <w:name w:val="正文文本缩进 2 Char"/>
    <w:basedOn w:val="27"/>
    <w:link w:val="13"/>
    <w:qFormat/>
    <w:uiPriority w:val="0"/>
    <w:rPr>
      <w:rFonts w:asciiTheme="minorHAnsi" w:hAnsiTheme="minorHAnsi" w:eastAsiaTheme="minorEastAsia" w:cstheme="minorBidi"/>
      <w:kern w:val="2"/>
      <w:sz w:val="21"/>
      <w:szCs w:val="24"/>
    </w:rPr>
  </w:style>
  <w:style w:type="paragraph" w:customStyle="1" w:styleId="57">
    <w:name w:val="列出段落3"/>
    <w:basedOn w:val="1"/>
    <w:semiHidden/>
    <w:qFormat/>
    <w:uiPriority w:val="0"/>
    <w:pPr>
      <w:ind w:firstLine="420" w:firstLineChars="200"/>
    </w:pPr>
    <w:rPr>
      <w:rFonts w:ascii="Calibri" w:hAnsi="Calibri" w:eastAsia="宋体" w:cs="Times New Roman"/>
      <w:szCs w:val="21"/>
    </w:rPr>
  </w:style>
  <w:style w:type="paragraph" w:customStyle="1" w:styleId="5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59">
    <w:name w:val="列出段落4"/>
    <w:basedOn w:val="1"/>
    <w:qFormat/>
    <w:uiPriority w:val="0"/>
    <w:pPr>
      <w:ind w:firstLine="420" w:firstLineChars="200"/>
    </w:pPr>
    <w:rPr>
      <w:rFonts w:ascii="Calibri" w:hAnsi="Calibri" w:eastAsia="宋体" w:cs="Times New Roman"/>
      <w:szCs w:val="21"/>
    </w:rPr>
  </w:style>
  <w:style w:type="paragraph" w:styleId="60">
    <w:name w:val="List Paragraph"/>
    <w:basedOn w:val="1"/>
    <w:unhideWhenUsed/>
    <w:qFormat/>
    <w:uiPriority w:val="99"/>
    <w:pPr>
      <w:ind w:firstLine="420" w:firstLineChars="200"/>
    </w:pPr>
  </w:style>
  <w:style w:type="character" w:customStyle="1" w:styleId="61">
    <w:name w:val="副标题 Char"/>
    <w:link w:val="18"/>
    <w:qFormat/>
    <w:uiPriority w:val="0"/>
    <w:rPr>
      <w:bCs/>
      <w:kern w:val="28"/>
      <w:sz w:val="21"/>
      <w:szCs w:val="32"/>
    </w:rPr>
  </w:style>
  <w:style w:type="character" w:customStyle="1" w:styleId="62">
    <w:name w:val="标题 Char"/>
    <w:link w:val="23"/>
    <w:qFormat/>
    <w:uiPriority w:val="0"/>
    <w:rPr>
      <w:rFonts w:eastAsia="黑体"/>
      <w:bCs/>
      <w:sz w:val="24"/>
      <w:szCs w:val="32"/>
    </w:rPr>
  </w:style>
  <w:style w:type="character" w:customStyle="1" w:styleId="63">
    <w:name w:val="标题 Char1"/>
    <w:basedOn w:val="27"/>
    <w:qFormat/>
    <w:uiPriority w:val="0"/>
    <w:rPr>
      <w:rFonts w:asciiTheme="majorHAnsi" w:hAnsiTheme="majorHAnsi" w:cstheme="majorBidi"/>
      <w:b/>
      <w:bCs/>
      <w:kern w:val="2"/>
      <w:sz w:val="32"/>
      <w:szCs w:val="32"/>
    </w:rPr>
  </w:style>
  <w:style w:type="character" w:customStyle="1" w:styleId="64">
    <w:name w:val="副标题 Char1"/>
    <w:basedOn w:val="27"/>
    <w:qFormat/>
    <w:uiPriority w:val="0"/>
    <w:rPr>
      <w:rFonts w:asciiTheme="majorHAnsi" w:hAnsiTheme="majorHAnsi" w:cstheme="majorBidi"/>
      <w:b/>
      <w:bCs/>
      <w:kern w:val="28"/>
      <w:sz w:val="32"/>
      <w:szCs w:val="32"/>
    </w:rPr>
  </w:style>
  <w:style w:type="character" w:customStyle="1" w:styleId="65">
    <w:name w:val="表格文字 Char Char"/>
    <w:link w:val="48"/>
    <w:qFormat/>
    <w:uiPriority w:val="0"/>
    <w:rPr>
      <w:rFonts w:asciiTheme="minorHAnsi" w:hAnsiTheme="minorHAnsi" w:eastAsiaTheme="minorEastAsia" w:cstheme="minorBidi"/>
      <w:kern w:val="2"/>
      <w:sz w:val="21"/>
      <w:szCs w:val="24"/>
    </w:rPr>
  </w:style>
  <w:style w:type="character" w:customStyle="1" w:styleId="66">
    <w:name w:val="报告文本 Char"/>
    <w:link w:val="67"/>
    <w:qFormat/>
    <w:uiPriority w:val="0"/>
    <w:rPr>
      <w:sz w:val="24"/>
      <w:szCs w:val="24"/>
    </w:rPr>
  </w:style>
  <w:style w:type="paragraph" w:customStyle="1" w:styleId="67">
    <w:name w:val="报告文本"/>
    <w:basedOn w:val="1"/>
    <w:link w:val="66"/>
    <w:qFormat/>
    <w:uiPriority w:val="0"/>
    <w:pPr>
      <w:widowControl/>
      <w:spacing w:line="360" w:lineRule="auto"/>
      <w:ind w:firstLine="200" w:firstLineChars="200"/>
      <w:jc w:val="left"/>
    </w:pPr>
    <w:rPr>
      <w:rFonts w:ascii="Times New Roman" w:hAnsi="Times New Roman" w:eastAsia="宋体" w:cs="Times New Roman"/>
      <w:kern w:val="0"/>
      <w:sz w:val="24"/>
    </w:rPr>
  </w:style>
  <w:style w:type="character" w:customStyle="1" w:styleId="68">
    <w:name w:val="正文首行缩进 Char"/>
    <w:basedOn w:val="27"/>
    <w:link w:val="4"/>
    <w:qFormat/>
    <w:uiPriority w:val="99"/>
    <w:rPr>
      <w:rFonts w:asciiTheme="minorHAnsi" w:hAnsiTheme="minorHAnsi" w:eastAsiaTheme="minorEastAsia" w:cstheme="minorBidi"/>
      <w:kern w:val="2"/>
      <w:sz w:val="24"/>
      <w:szCs w:val="24"/>
    </w:rPr>
  </w:style>
  <w:style w:type="paragraph" w:customStyle="1" w:styleId="69">
    <w:name w:val="B-正文"/>
    <w:basedOn w:val="1"/>
    <w:qFormat/>
    <w:uiPriority w:val="0"/>
    <w:pPr>
      <w:jc w:val="center"/>
    </w:pPr>
    <w:rPr>
      <w:rFonts w:ascii="Times New Roman" w:hAnsi="Times New Roman" w:eastAsia="宋体" w:cs="Times New Roman"/>
    </w:rPr>
  </w:style>
  <w:style w:type="character" w:customStyle="1" w:styleId="70">
    <w:name w:val="表格内容 Char"/>
    <w:link w:val="46"/>
    <w:qFormat/>
    <w:uiPriority w:val="0"/>
    <w:rPr>
      <w:rFonts w:eastAsia="楷体_GB2312" w:cs="Arial"/>
      <w:kern w:val="2"/>
      <w:sz w:val="21"/>
      <w:szCs w:val="24"/>
    </w:rPr>
  </w:style>
  <w:style w:type="paragraph" w:customStyle="1" w:styleId="71">
    <w:name w:val="表格标题-WJG"/>
    <w:basedOn w:val="38"/>
    <w:qFormat/>
    <w:uiPriority w:val="0"/>
    <w:pPr>
      <w:widowControl/>
      <w:adjustRightInd w:val="0"/>
      <w:spacing w:line="360" w:lineRule="auto"/>
      <w:textAlignment w:val="baseline"/>
    </w:pPr>
    <w:rPr>
      <w:rFonts w:cs="Times New Roman"/>
      <w:color w:val="auto"/>
      <w:kern w:val="0"/>
      <w:szCs w:val="21"/>
    </w:rPr>
  </w:style>
  <w:style w:type="paragraph" w:customStyle="1" w:styleId="72">
    <w:name w:val="表头-王剑光"/>
    <w:basedOn w:val="8"/>
    <w:qFormat/>
    <w:uiPriority w:val="0"/>
    <w:pPr>
      <w:widowControl/>
      <w:adjustRightInd/>
      <w:snapToGrid/>
      <w:spacing w:before="120" w:beforeLines="50"/>
      <w:jc w:val="center"/>
    </w:pPr>
    <w:rPr>
      <w:rFonts w:ascii="Times New Roman" w:hAnsi="Times New Roman" w:eastAsia="宋体" w:cs="Times New Roman"/>
      <w:b/>
      <w:sz w:val="21"/>
      <w:szCs w:val="21"/>
    </w:rPr>
  </w:style>
  <w:style w:type="paragraph" w:customStyle="1" w:styleId="73">
    <w:name w:val="表格首行-WJG"/>
    <w:basedOn w:val="54"/>
    <w:qFormat/>
    <w:uiPriority w:val="0"/>
    <w:pPr>
      <w:widowControl/>
      <w:adjustRightInd/>
    </w:pPr>
    <w:rPr>
      <w:b/>
      <w:kern w:val="2"/>
      <w:position w:val="0"/>
    </w:rPr>
  </w:style>
  <w:style w:type="paragraph" w:customStyle="1" w:styleId="74">
    <w:name w:val="表格内容-WJG2"/>
    <w:basedOn w:val="1"/>
    <w:qFormat/>
    <w:uiPriority w:val="0"/>
    <w:pPr>
      <w:widowControl/>
      <w:jc w:val="center"/>
    </w:pPr>
    <w:rPr>
      <w:rFonts w:ascii="Times New Roman" w:hAnsi="Times New Roman" w:eastAsia="宋体" w:cs="Times New Roman"/>
      <w:szCs w:val="21"/>
    </w:rPr>
  </w:style>
  <w:style w:type="paragraph" w:customStyle="1" w:styleId="75">
    <w:name w:val="表格1"/>
    <w:basedOn w:val="1"/>
    <w:qFormat/>
    <w:uiPriority w:val="0"/>
    <w:pPr>
      <w:adjustRightInd w:val="0"/>
      <w:jc w:val="left"/>
      <w:textAlignment w:val="baseline"/>
    </w:pPr>
    <w:rPr>
      <w:rFonts w:ascii="Times New Roman" w:hAnsi="Times New Roman" w:eastAsia="宋体" w:cs="Times New Roman"/>
      <w:kern w:val="0"/>
      <w:szCs w:val="20"/>
    </w:rPr>
  </w:style>
  <w:style w:type="paragraph" w:customStyle="1" w:styleId="76">
    <w:name w:val="表格文字2"/>
    <w:basedOn w:val="48"/>
    <w:qFormat/>
    <w:uiPriority w:val="0"/>
    <w:pPr>
      <w:adjustRightInd/>
      <w:snapToGrid/>
    </w:pPr>
    <w:rPr>
      <w:rFonts w:ascii="宋体" w:hAnsi="宋体"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1.wmf"/><Relationship Id="rId64" Type="http://schemas.openxmlformats.org/officeDocument/2006/relationships/oleObject" Target="embeddings/oleObject27.bin"/><Relationship Id="rId63" Type="http://schemas.openxmlformats.org/officeDocument/2006/relationships/image" Target="media/image30.wmf"/><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footer" Target="footer1.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image" Target="media/image27.wmf"/><Relationship Id="rId56" Type="http://schemas.openxmlformats.org/officeDocument/2006/relationships/oleObject" Target="embeddings/oleObject23.bin"/><Relationship Id="rId55" Type="http://schemas.openxmlformats.org/officeDocument/2006/relationships/image" Target="media/image26.wmf"/><Relationship Id="rId54" Type="http://schemas.openxmlformats.org/officeDocument/2006/relationships/oleObject" Target="embeddings/oleObject22.bin"/><Relationship Id="rId53" Type="http://schemas.openxmlformats.org/officeDocument/2006/relationships/image" Target="media/image25.wmf"/><Relationship Id="rId52" Type="http://schemas.openxmlformats.org/officeDocument/2006/relationships/oleObject" Target="embeddings/oleObject21.bin"/><Relationship Id="rId51" Type="http://schemas.openxmlformats.org/officeDocument/2006/relationships/oleObject" Target="embeddings/oleObject20.bin"/><Relationship Id="rId50" Type="http://schemas.openxmlformats.org/officeDocument/2006/relationships/oleObject" Target="embeddings/oleObject19.bin"/><Relationship Id="rId5" Type="http://schemas.openxmlformats.org/officeDocument/2006/relationships/header" Target="header3.xml"/><Relationship Id="rId49" Type="http://schemas.openxmlformats.org/officeDocument/2006/relationships/image" Target="media/image24.png"/><Relationship Id="rId48" Type="http://schemas.openxmlformats.org/officeDocument/2006/relationships/image" Target="media/image23.wmf"/><Relationship Id="rId47" Type="http://schemas.openxmlformats.org/officeDocument/2006/relationships/oleObject" Target="embeddings/oleObject18.bin"/><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e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header" Target="header2.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wmf"/><Relationship Id="rId34" Type="http://schemas.openxmlformats.org/officeDocument/2006/relationships/oleObject" Target="embeddings/oleObject14.bin"/><Relationship Id="rId33" Type="http://schemas.openxmlformats.org/officeDocument/2006/relationships/image" Target="media/image13.wmf"/><Relationship Id="rId32" Type="http://schemas.openxmlformats.org/officeDocument/2006/relationships/oleObject" Target="embeddings/oleObject13.bin"/><Relationship Id="rId31" Type="http://schemas.openxmlformats.org/officeDocument/2006/relationships/image" Target="media/image12.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w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wmf"/><Relationship Id="rId14" Type="http://schemas.openxmlformats.org/officeDocument/2006/relationships/oleObject" Target="embeddings/oleObject4.bin"/><Relationship Id="rId13" Type="http://schemas.openxmlformats.org/officeDocument/2006/relationships/image" Target="media/image3.w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063D43-0096-4298-AC51-7B1CC833F1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10608</Words>
  <Characters>60472</Characters>
  <Lines>503</Lines>
  <Paragraphs>141</Paragraphs>
  <TotalTime>4185</TotalTime>
  <ScaleCrop>false</ScaleCrop>
  <LinksUpToDate>false</LinksUpToDate>
  <CharactersWithSpaces>70939</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2019-04-19T06:24:00Z</dcterms:created>
  <dc:creator>月牙泉</dc:creator>
  <cp:lastModifiedBy>Administrator</cp:lastModifiedBy>
  <cp:lastPrinted>2019-05-31T01:00:00Z</cp:lastPrinted>
  <dcterms:modified xsi:type="dcterms:W3CDTF">2019-06-13T01:48:33Z</dcterms:modified>
  <cp:revision>1291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MTWinEqns">
    <vt:bool>true</vt:bool>
  </property>
</Properties>
</file>