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仿宋" w:eastAsia="黑体"/>
          <w:sz w:val="32"/>
          <w:szCs w:val="32"/>
        </w:rPr>
      </w:pPr>
    </w:p>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lang w:eastAsia="zh-CN"/>
        </w:rPr>
        <w:t>邵东市九龙岭镇人民政府</w:t>
      </w:r>
      <w:r>
        <w:rPr>
          <w:rFonts w:hint="eastAsia" w:ascii="方正小标宋简体" w:hAnsi="黑体" w:eastAsia="方正小标宋简体"/>
          <w:bCs/>
          <w:sz w:val="44"/>
          <w:szCs w:val="44"/>
        </w:rPr>
        <w:t>整体支出绩效</w:t>
      </w:r>
    </w:p>
    <w:p>
      <w:pPr>
        <w:spacing w:line="600" w:lineRule="exact"/>
        <w:jc w:val="center"/>
        <w:rPr>
          <w:rFonts w:hint="eastAsia" w:ascii="方正小标宋简体" w:hAnsi="黑体" w:eastAsia="方正小标宋简体"/>
          <w:bCs/>
          <w:sz w:val="44"/>
          <w:szCs w:val="44"/>
        </w:rPr>
      </w:pPr>
      <w:r>
        <w:rPr>
          <w:rFonts w:hint="eastAsia" w:ascii="方正小标宋简体" w:hAnsi="黑体" w:eastAsia="方正小标宋简体"/>
          <w:bCs/>
          <w:sz w:val="44"/>
          <w:szCs w:val="44"/>
        </w:rPr>
        <w:t>自评报告</w:t>
      </w:r>
    </w:p>
    <w:p>
      <w:pPr>
        <w:spacing w:line="600" w:lineRule="exact"/>
        <w:rPr>
          <w:rFonts w:hint="eastAsia" w:ascii="仿宋_GB2312" w:hAnsi="仿宋_GB2312" w:eastAsia="仿宋_GB2312" w:cs="仿宋_GB2312"/>
          <w:sz w:val="32"/>
          <w:szCs w:val="32"/>
        </w:rPr>
      </w:pPr>
    </w:p>
    <w:p>
      <w:pPr>
        <w:spacing w:line="520" w:lineRule="exact"/>
        <w:rPr>
          <w:rFonts w:hint="eastAsia" w:ascii="黑体" w:hAnsi="黑体" w:eastAsia="黑体"/>
          <w:sz w:val="32"/>
          <w:szCs w:val="32"/>
        </w:rPr>
      </w:pPr>
      <w:r>
        <w:rPr>
          <w:rFonts w:hint="eastAsia" w:ascii="黑体" w:hAnsi="黑体" w:eastAsia="黑体"/>
          <w:sz w:val="32"/>
          <w:szCs w:val="32"/>
        </w:rPr>
        <w:t>一、部门（单位）基本概况</w:t>
      </w:r>
    </w:p>
    <w:p>
      <w:pPr>
        <w:pStyle w:val="5"/>
        <w:ind w:firstLine="0" w:firstLineChars="0"/>
        <w:jc w:val="left"/>
        <w:rPr>
          <w:rFonts w:ascii="黑体" w:hAnsi="黑体" w:eastAsia="黑体"/>
          <w:sz w:val="32"/>
          <w:szCs w:val="32"/>
        </w:rPr>
      </w:pPr>
      <w:r>
        <w:rPr>
          <w:rFonts w:hint="eastAsia" w:ascii="黑体" w:hAnsi="黑体" w:eastAsia="黑体"/>
          <w:sz w:val="32"/>
          <w:szCs w:val="32"/>
          <w:lang w:val="en-US" w:eastAsia="zh-CN"/>
        </w:rPr>
        <w:t>1</w:t>
      </w:r>
      <w:r>
        <w:rPr>
          <w:rFonts w:hint="eastAsia" w:ascii="黑体" w:hAnsi="黑体" w:eastAsia="黑体"/>
          <w:sz w:val="32"/>
          <w:szCs w:val="32"/>
        </w:rPr>
        <w:t>、部门职责</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1</w:t>
      </w:r>
      <w:r>
        <w:rPr>
          <w:rFonts w:hint="eastAsia"/>
          <w:color w:val="222222"/>
          <w:sz w:val="32"/>
          <w:szCs w:val="32"/>
          <w:lang w:eastAsia="zh-CN"/>
        </w:rPr>
        <w:t>）</w:t>
      </w:r>
      <w:r>
        <w:rPr>
          <w:color w:val="222222"/>
          <w:sz w:val="32"/>
          <w:szCs w:val="32"/>
        </w:rPr>
        <w:t>、执行上级国家行政机关的决定、命令和国家制定的法令、法规，接受同级党委的领导，执行本级人民代表大会的各项决议，并报告执行决议、决定和命令的情况。</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2</w:t>
      </w:r>
      <w:r>
        <w:rPr>
          <w:rFonts w:hint="eastAsia"/>
          <w:color w:val="222222"/>
          <w:sz w:val="32"/>
          <w:szCs w:val="32"/>
          <w:lang w:eastAsia="zh-CN"/>
        </w:rPr>
        <w:t>）</w:t>
      </w:r>
      <w:r>
        <w:rPr>
          <w:color w:val="222222"/>
          <w:sz w:val="32"/>
          <w:szCs w:val="32"/>
        </w:rPr>
        <w:t>、制定并落实本行政区域的经济计划和措施，促进产业结构调整及其他经济保持平衡协调发展，全面提高人民群众的生活水平和生活质量。</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3</w:t>
      </w:r>
      <w:r>
        <w:rPr>
          <w:rFonts w:hint="eastAsia"/>
          <w:color w:val="222222"/>
          <w:sz w:val="32"/>
          <w:szCs w:val="32"/>
          <w:lang w:eastAsia="zh-CN"/>
        </w:rPr>
        <w:t>）</w:t>
      </w:r>
      <w:r>
        <w:rPr>
          <w:color w:val="222222"/>
          <w:sz w:val="32"/>
          <w:szCs w:val="32"/>
        </w:rPr>
        <w:t>、承担国有资产、集体资产管理、监督及增值保值责任;保护公民私人所有合法财产，保障集体经济组织应有的自主权;监督企业和各种经济联合体、个体户认真执行国家的法律、法令和政策，履行经济合同。</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4</w:t>
      </w:r>
      <w:r>
        <w:rPr>
          <w:rFonts w:hint="eastAsia"/>
          <w:color w:val="222222"/>
          <w:sz w:val="32"/>
          <w:szCs w:val="32"/>
          <w:lang w:eastAsia="zh-CN"/>
        </w:rPr>
        <w:t>）</w:t>
      </w:r>
      <w:r>
        <w:rPr>
          <w:color w:val="222222"/>
          <w:sz w:val="32"/>
          <w:szCs w:val="32"/>
        </w:rPr>
        <w:t>、开展社会主义民主和法制的宣传教育，保障公民的权利;制定社会治安综合治理工作规划并组织实施;加强社区管理工作，依法管理外来流动人口，处理人民来信来访，调解民间纠纷，打击违法犯罪，维护社会稳定。</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5</w:t>
      </w:r>
      <w:r>
        <w:rPr>
          <w:rFonts w:hint="eastAsia"/>
          <w:color w:val="222222"/>
          <w:sz w:val="32"/>
          <w:szCs w:val="32"/>
          <w:lang w:eastAsia="zh-CN"/>
        </w:rPr>
        <w:t>）</w:t>
      </w:r>
      <w:r>
        <w:rPr>
          <w:color w:val="222222"/>
          <w:sz w:val="32"/>
          <w:szCs w:val="32"/>
        </w:rPr>
        <w:t>、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6</w:t>
      </w:r>
      <w:r>
        <w:rPr>
          <w:rFonts w:hint="eastAsia"/>
          <w:color w:val="222222"/>
          <w:sz w:val="32"/>
          <w:szCs w:val="32"/>
          <w:lang w:eastAsia="zh-CN"/>
        </w:rPr>
        <w:t>）</w:t>
      </w:r>
      <w:r>
        <w:rPr>
          <w:color w:val="222222"/>
          <w:sz w:val="32"/>
          <w:szCs w:val="32"/>
        </w:rPr>
        <w:t>、加强镇级财政的监督和管理，按计划组织、管理镇财政收入和支出，执行国家有关财经纪律和政策，保证国家财政收入的完成;做好统计工作。</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7</w:t>
      </w:r>
      <w:r>
        <w:rPr>
          <w:rFonts w:hint="eastAsia"/>
          <w:color w:val="222222"/>
          <w:sz w:val="32"/>
          <w:szCs w:val="32"/>
          <w:lang w:eastAsia="zh-CN"/>
        </w:rPr>
        <w:t>）</w:t>
      </w:r>
      <w:r>
        <w:rPr>
          <w:color w:val="222222"/>
          <w:sz w:val="32"/>
          <w:szCs w:val="32"/>
        </w:rPr>
        <w:t>、指导、支持、帮助村(居)民委员会的组织制度建设和业务建设，促进村(居)民委员会民-主自治。</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8</w:t>
      </w:r>
      <w:r>
        <w:rPr>
          <w:rFonts w:hint="eastAsia"/>
          <w:color w:val="222222"/>
          <w:sz w:val="32"/>
          <w:szCs w:val="32"/>
          <w:lang w:eastAsia="zh-CN"/>
        </w:rPr>
        <w:t>）</w:t>
      </w:r>
      <w:r>
        <w:rPr>
          <w:color w:val="222222"/>
          <w:sz w:val="32"/>
          <w:szCs w:val="32"/>
        </w:rPr>
        <w:t>、制定和组织实施镇村建设规划;加强公用、市政设施、水利建设和管理以及房屋土地管理和环境综合整治工作，保护和改善生活环境和生态环境。</w:t>
      </w:r>
    </w:p>
    <w:p>
      <w:pPr>
        <w:pStyle w:val="2"/>
        <w:shd w:val="clear" w:color="auto" w:fill="FFFFFF"/>
        <w:spacing w:before="0" w:beforeAutospacing="0" w:after="0" w:afterAutospacing="0" w:line="502" w:lineRule="atLeast"/>
        <w:ind w:right="335"/>
        <w:jc w:val="both"/>
        <w:rPr>
          <w:color w:val="222222"/>
          <w:sz w:val="32"/>
          <w:szCs w:val="32"/>
        </w:rPr>
      </w:pPr>
      <w:r>
        <w:rPr>
          <w:rFonts w:hint="eastAsia"/>
          <w:color w:val="222222"/>
          <w:sz w:val="32"/>
          <w:szCs w:val="32"/>
          <w:lang w:eastAsia="zh-CN"/>
        </w:rPr>
        <w:t>（</w:t>
      </w:r>
      <w:r>
        <w:rPr>
          <w:color w:val="222222"/>
          <w:sz w:val="32"/>
          <w:szCs w:val="32"/>
        </w:rPr>
        <w:t>9</w:t>
      </w:r>
      <w:r>
        <w:rPr>
          <w:rFonts w:hint="eastAsia"/>
          <w:color w:val="222222"/>
          <w:sz w:val="32"/>
          <w:szCs w:val="32"/>
          <w:lang w:eastAsia="zh-CN"/>
        </w:rPr>
        <w:t>）</w:t>
      </w:r>
      <w:r>
        <w:rPr>
          <w:color w:val="222222"/>
          <w:sz w:val="32"/>
          <w:szCs w:val="32"/>
        </w:rPr>
        <w:t>、协助和支持设置在本行政区域内不隶属于镇的国家机关和企事业单位工作，监督其遵守和执行国家的法律、法规和政策。</w:t>
      </w:r>
    </w:p>
    <w:p>
      <w:pPr>
        <w:spacing w:line="520" w:lineRule="exact"/>
        <w:rPr>
          <w:color w:val="222222"/>
          <w:sz w:val="32"/>
          <w:szCs w:val="32"/>
        </w:rPr>
      </w:pPr>
      <w:r>
        <w:rPr>
          <w:rFonts w:hint="eastAsia"/>
          <w:color w:val="222222"/>
          <w:sz w:val="32"/>
          <w:szCs w:val="32"/>
          <w:lang w:eastAsia="zh-CN"/>
        </w:rPr>
        <w:t>（</w:t>
      </w:r>
      <w:r>
        <w:rPr>
          <w:color w:val="222222"/>
          <w:sz w:val="32"/>
          <w:szCs w:val="32"/>
        </w:rPr>
        <w:t>10</w:t>
      </w:r>
      <w:r>
        <w:rPr>
          <w:rFonts w:hint="eastAsia"/>
          <w:color w:val="222222"/>
          <w:sz w:val="32"/>
          <w:szCs w:val="32"/>
          <w:lang w:eastAsia="zh-CN"/>
        </w:rPr>
        <w:t>）</w:t>
      </w:r>
      <w:r>
        <w:rPr>
          <w:color w:val="222222"/>
          <w:sz w:val="32"/>
          <w:szCs w:val="32"/>
        </w:rPr>
        <w:t>、承办市人民政府交办的其它事项。</w:t>
      </w:r>
    </w:p>
    <w:p>
      <w:pPr>
        <w:rPr>
          <w:rFonts w:ascii="宋体" w:hAnsi="宋体"/>
          <w:bCs/>
          <w:kern w:val="0"/>
          <w:sz w:val="32"/>
          <w:szCs w:val="32"/>
        </w:rPr>
      </w:pPr>
      <w:r>
        <w:rPr>
          <w:rFonts w:hint="eastAsia" w:ascii="宋体" w:hAnsi="宋体"/>
          <w:bCs/>
          <w:kern w:val="0"/>
          <w:sz w:val="32"/>
          <w:szCs w:val="32"/>
          <w:lang w:val="en-US" w:eastAsia="zh-CN"/>
        </w:rPr>
        <w:t>2、</w:t>
      </w:r>
      <w:r>
        <w:rPr>
          <w:rFonts w:hint="eastAsia" w:ascii="宋体" w:hAnsi="宋体"/>
          <w:bCs/>
          <w:kern w:val="0"/>
          <w:sz w:val="32"/>
          <w:szCs w:val="32"/>
        </w:rPr>
        <w:t>内设机构设置。</w:t>
      </w:r>
    </w:p>
    <w:p>
      <w:pPr>
        <w:ind w:firstLine="640" w:firstLineChars="200"/>
        <w:rPr>
          <w:rFonts w:hint="eastAsia" w:ascii="宋体" w:hAnsi="宋体"/>
          <w:sz w:val="32"/>
          <w:szCs w:val="32"/>
        </w:rPr>
      </w:pPr>
      <w:r>
        <w:rPr>
          <w:rFonts w:hint="eastAsia" w:ascii="宋体" w:hAnsi="宋体"/>
          <w:bCs/>
          <w:kern w:val="0"/>
          <w:sz w:val="32"/>
          <w:szCs w:val="32"/>
        </w:rPr>
        <w:t>本单位内设机构包括：</w:t>
      </w:r>
      <w:r>
        <w:rPr>
          <w:rFonts w:hint="eastAsia" w:ascii="宋体" w:hAnsi="宋体"/>
          <w:sz w:val="32"/>
          <w:szCs w:val="32"/>
        </w:rPr>
        <w:t>政府、财政所、政务（便民）服务中心、社会事务综合服务中心、退役军人服务站、综合行政执法大队、农业综合服务中心共7个机构和预算单位。</w:t>
      </w:r>
    </w:p>
    <w:p>
      <w:pPr>
        <w:rPr>
          <w:rFonts w:hint="eastAsia" w:ascii="宋体" w:hAnsi="宋体" w:eastAsia="宋体"/>
          <w:sz w:val="32"/>
          <w:szCs w:val="32"/>
          <w:lang w:val="en-US" w:eastAsia="zh-CN"/>
        </w:rPr>
      </w:pPr>
      <w:r>
        <w:rPr>
          <w:rFonts w:hint="eastAsia" w:ascii="宋体" w:hAnsi="宋体"/>
          <w:sz w:val="32"/>
          <w:szCs w:val="32"/>
          <w:lang w:val="en-US" w:eastAsia="zh-CN"/>
        </w:rPr>
        <w:t>3、</w:t>
      </w:r>
      <w:r>
        <w:rPr>
          <w:rFonts w:hint="eastAsia" w:hAnsi="黑体"/>
          <w:b w:val="0"/>
          <w:bCs/>
          <w:sz w:val="32"/>
          <w:szCs w:val="32"/>
        </w:rPr>
        <w:t>财政拨款收入支出决算总体情况</w:t>
      </w:r>
      <w:r>
        <w:rPr>
          <w:rFonts w:hint="eastAsia" w:hAnsi="黑体"/>
          <w:b w:val="0"/>
          <w:bCs/>
          <w:sz w:val="32"/>
          <w:szCs w:val="32"/>
          <w:lang w:eastAsia="zh-CN"/>
        </w:rPr>
        <w:t>。</w:t>
      </w:r>
    </w:p>
    <w:p>
      <w:pPr>
        <w:pStyle w:val="6"/>
        <w:ind w:firstLine="640"/>
        <w:rPr>
          <w:rFonts w:hint="eastAsia" w:ascii="宋体" w:hAnsi="宋体" w:eastAsia="宋体" w:cs="宋体"/>
          <w:sz w:val="32"/>
          <w:szCs w:val="32"/>
        </w:rPr>
      </w:pPr>
      <w:r>
        <w:rPr>
          <w:rFonts w:hint="eastAsia" w:ascii="宋体" w:hAnsi="宋体" w:eastAsia="宋体"/>
          <w:sz w:val="32"/>
          <w:szCs w:val="32"/>
        </w:rPr>
        <w:t>2020年度财政拨款收、支总计</w:t>
      </w:r>
      <w:r>
        <w:rPr>
          <w:rFonts w:hint="eastAsia" w:ascii="宋体" w:hAnsi="宋体" w:eastAsia="宋体"/>
          <w:sz w:val="32"/>
          <w:szCs w:val="32"/>
          <w:lang w:val="en-US" w:eastAsia="zh-CN"/>
        </w:rPr>
        <w:t>2736.11</w:t>
      </w:r>
      <w:r>
        <w:rPr>
          <w:rFonts w:hint="eastAsia" w:ascii="宋体" w:hAnsi="宋体" w:eastAsia="宋体"/>
          <w:sz w:val="32"/>
          <w:szCs w:val="32"/>
        </w:rPr>
        <w:t>万元，与</w:t>
      </w:r>
      <w:r>
        <w:rPr>
          <w:rFonts w:hint="eastAsia" w:ascii="宋体" w:hAnsi="宋体" w:eastAsia="宋体"/>
          <w:sz w:val="32"/>
          <w:szCs w:val="32"/>
          <w:lang w:val="en-US" w:eastAsia="zh-CN"/>
        </w:rPr>
        <w:t>2019</w:t>
      </w:r>
      <w:r>
        <w:rPr>
          <w:rFonts w:hint="eastAsia" w:ascii="宋体" w:hAnsi="宋体" w:eastAsia="宋体"/>
          <w:sz w:val="32"/>
          <w:szCs w:val="32"/>
        </w:rPr>
        <w:t>年相比，减少</w:t>
      </w:r>
      <w:r>
        <w:rPr>
          <w:rFonts w:hint="eastAsia" w:ascii="宋体" w:hAnsi="宋体" w:eastAsia="宋体"/>
          <w:sz w:val="32"/>
          <w:szCs w:val="32"/>
          <w:lang w:val="en-US" w:eastAsia="zh-CN"/>
        </w:rPr>
        <w:t>357.88</w:t>
      </w:r>
      <w:r>
        <w:rPr>
          <w:rFonts w:hint="eastAsia" w:ascii="宋体" w:hAnsi="宋体" w:eastAsia="宋体"/>
          <w:sz w:val="32"/>
          <w:szCs w:val="32"/>
        </w:rPr>
        <w:t>万元,减少</w:t>
      </w:r>
      <w:r>
        <w:rPr>
          <w:rFonts w:hint="eastAsia" w:ascii="宋体" w:hAnsi="宋体" w:eastAsia="宋体"/>
          <w:sz w:val="32"/>
          <w:szCs w:val="32"/>
          <w:lang w:val="en-US" w:eastAsia="zh-CN"/>
        </w:rPr>
        <w:t>11.57</w:t>
      </w:r>
      <w:r>
        <w:rPr>
          <w:rFonts w:hint="eastAsia" w:ascii="宋体" w:hAnsi="宋体" w:eastAsia="宋体"/>
          <w:sz w:val="32"/>
          <w:szCs w:val="32"/>
        </w:rPr>
        <w:t>%，主要是因为</w:t>
      </w:r>
      <w:r>
        <w:rPr>
          <w:rFonts w:hint="eastAsia" w:ascii="宋体" w:hAnsi="宋体" w:eastAsia="宋体" w:cs="宋体"/>
          <w:sz w:val="32"/>
          <w:szCs w:val="32"/>
        </w:rPr>
        <w:t>农村基础设施</w:t>
      </w:r>
      <w:r>
        <w:rPr>
          <w:rFonts w:hint="eastAsia" w:ascii="宋体" w:hAnsi="宋体" w:eastAsia="宋体" w:cs="宋体"/>
          <w:sz w:val="32"/>
          <w:szCs w:val="32"/>
          <w:lang w:eastAsia="zh-CN"/>
        </w:rPr>
        <w:t>、安居工程</w:t>
      </w:r>
      <w:r>
        <w:rPr>
          <w:rFonts w:hint="eastAsia" w:ascii="宋体" w:hAnsi="宋体" w:eastAsia="宋体" w:cs="宋体"/>
          <w:sz w:val="32"/>
          <w:szCs w:val="32"/>
        </w:rPr>
        <w:t>等民生建设基本完成，投入资金减少。</w:t>
      </w:r>
    </w:p>
    <w:p>
      <w:pPr>
        <w:numPr>
          <w:ilvl w:val="0"/>
          <w:numId w:val="1"/>
        </w:num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部门（单位）整体支出绩效状况</w:t>
      </w:r>
    </w:p>
    <w:p>
      <w:pPr>
        <w:widowControl/>
        <w:shd w:val="clear" w:color="auto" w:fill="FFFFFF"/>
        <w:spacing w:line="480" w:lineRule="auto"/>
        <w:ind w:firstLine="480"/>
        <w:rPr>
          <w:rFonts w:hint="eastAsia" w:ascii="微软雅黑" w:hAnsi="微软雅黑" w:cs="宋体"/>
          <w:kern w:val="0"/>
          <w:sz w:val="32"/>
          <w:szCs w:val="32"/>
        </w:rPr>
      </w:pPr>
      <w:r>
        <w:rPr>
          <w:rFonts w:ascii="微软雅黑" w:hAnsi="微软雅黑" w:cs="宋体"/>
          <w:kern w:val="0"/>
          <w:sz w:val="32"/>
          <w:szCs w:val="32"/>
        </w:rPr>
        <w:t>20</w:t>
      </w:r>
      <w:r>
        <w:rPr>
          <w:rFonts w:hint="eastAsia" w:ascii="微软雅黑" w:hAnsi="微软雅黑" w:cs="宋体"/>
          <w:kern w:val="0"/>
          <w:sz w:val="32"/>
          <w:szCs w:val="32"/>
          <w:lang w:val="en-US" w:eastAsia="zh-CN"/>
        </w:rPr>
        <w:t>20</w:t>
      </w:r>
      <w:r>
        <w:rPr>
          <w:rFonts w:ascii="微软雅黑" w:hAnsi="微软雅黑" w:cs="宋体"/>
          <w:kern w:val="0"/>
          <w:sz w:val="32"/>
          <w:szCs w:val="32"/>
        </w:rPr>
        <w:t>年，我单位积极履职，强化管理，较好地完成了年度工作目标。通过加强预算收支管理，不断建立健全内部管理制度，梳理内部管理流程，部门整体支出管理水平得到提升。部门整体支出绩效情况如下：</w:t>
      </w:r>
    </w:p>
    <w:p>
      <w:pPr>
        <w:widowControl/>
        <w:shd w:val="clear" w:color="auto" w:fill="FFFFFF"/>
        <w:spacing w:line="480" w:lineRule="auto"/>
        <w:ind w:firstLine="480"/>
        <w:rPr>
          <w:rFonts w:hint="eastAsia" w:ascii="微软雅黑" w:hAnsi="微软雅黑" w:cs="宋体"/>
          <w:kern w:val="0"/>
          <w:sz w:val="32"/>
          <w:szCs w:val="32"/>
        </w:rPr>
      </w:pPr>
      <w:r>
        <w:rPr>
          <w:rFonts w:ascii="微软雅黑" w:hAnsi="微软雅黑" w:cs="宋体"/>
          <w:kern w:val="0"/>
          <w:sz w:val="32"/>
          <w:szCs w:val="32"/>
        </w:rPr>
        <w:t>1</w:t>
      </w:r>
      <w:r>
        <w:rPr>
          <w:rFonts w:hint="eastAsia" w:ascii="微软雅黑" w:hAnsi="微软雅黑" w:cs="宋体"/>
          <w:kern w:val="0"/>
          <w:sz w:val="32"/>
          <w:szCs w:val="32"/>
        </w:rPr>
        <w:t>、</w:t>
      </w:r>
      <w:r>
        <w:rPr>
          <w:rFonts w:ascii="微软雅黑" w:hAnsi="微软雅黑" w:cs="宋体"/>
          <w:kern w:val="0"/>
          <w:sz w:val="32"/>
          <w:szCs w:val="32"/>
        </w:rPr>
        <w:t>预算配置控制较好</w:t>
      </w:r>
      <w:r>
        <w:rPr>
          <w:rFonts w:hint="eastAsia" w:ascii="微软雅黑" w:hAnsi="微软雅黑" w:cs="宋体"/>
          <w:kern w:val="0"/>
          <w:sz w:val="32"/>
          <w:szCs w:val="32"/>
        </w:rPr>
        <w:t>。</w:t>
      </w:r>
    </w:p>
    <w:p>
      <w:pPr>
        <w:widowControl/>
        <w:shd w:val="clear" w:color="auto" w:fill="FFFFFF"/>
        <w:spacing w:line="480" w:lineRule="auto"/>
        <w:ind w:firstLine="480"/>
        <w:rPr>
          <w:rFonts w:hint="eastAsia" w:ascii="微软雅黑" w:hAnsi="微软雅黑" w:cs="宋体"/>
          <w:kern w:val="0"/>
          <w:sz w:val="32"/>
          <w:szCs w:val="32"/>
        </w:rPr>
      </w:pPr>
      <w:r>
        <w:rPr>
          <w:rFonts w:ascii="微软雅黑" w:hAnsi="微软雅黑" w:cs="宋体"/>
          <w:kern w:val="0"/>
          <w:sz w:val="32"/>
          <w:szCs w:val="32"/>
        </w:rPr>
        <w:t>2</w:t>
      </w:r>
      <w:r>
        <w:rPr>
          <w:rFonts w:hint="eastAsia" w:ascii="微软雅黑" w:hAnsi="微软雅黑" w:cs="宋体"/>
          <w:kern w:val="0"/>
          <w:sz w:val="32"/>
          <w:szCs w:val="32"/>
        </w:rPr>
        <w:t>、</w:t>
      </w:r>
      <w:r>
        <w:rPr>
          <w:rFonts w:ascii="微软雅黑" w:hAnsi="微软雅黑" w:cs="宋体"/>
          <w:kern w:val="0"/>
          <w:sz w:val="32"/>
          <w:szCs w:val="32"/>
        </w:rPr>
        <w:t>预算执行比较到位。</w:t>
      </w:r>
    </w:p>
    <w:p>
      <w:pPr>
        <w:widowControl/>
        <w:shd w:val="clear" w:color="auto" w:fill="FFFFFF"/>
        <w:spacing w:line="480" w:lineRule="auto"/>
        <w:ind w:firstLine="480"/>
        <w:rPr>
          <w:rFonts w:hint="eastAsia" w:ascii="微软雅黑" w:hAnsi="微软雅黑" w:eastAsia="宋体" w:cs="宋体"/>
          <w:kern w:val="0"/>
          <w:sz w:val="32"/>
          <w:szCs w:val="32"/>
          <w:lang w:val="en-US" w:eastAsia="zh-CN"/>
        </w:rPr>
      </w:pPr>
      <w:r>
        <w:rPr>
          <w:rFonts w:ascii="微软雅黑" w:hAnsi="微软雅黑" w:cs="宋体"/>
          <w:kern w:val="0"/>
          <w:sz w:val="32"/>
          <w:szCs w:val="32"/>
        </w:rPr>
        <w:t>3</w:t>
      </w:r>
      <w:r>
        <w:rPr>
          <w:rFonts w:hint="eastAsia" w:ascii="微软雅黑" w:hAnsi="微软雅黑" w:cs="宋体"/>
          <w:kern w:val="0"/>
          <w:sz w:val="32"/>
          <w:szCs w:val="32"/>
        </w:rPr>
        <w:t>、</w:t>
      </w:r>
      <w:r>
        <w:rPr>
          <w:rFonts w:ascii="微软雅黑" w:hAnsi="微软雅黑" w:cs="宋体"/>
          <w:kern w:val="0"/>
          <w:sz w:val="32"/>
          <w:szCs w:val="32"/>
        </w:rPr>
        <w:t>预算管理较理想，制度执行总体较为有效，但仍需进一步强化。 “三公”经费总体控制较好，较本年预算和上年决算支出数</w:t>
      </w:r>
      <w:r>
        <w:rPr>
          <w:rFonts w:hint="eastAsia" w:ascii="微软雅黑" w:hAnsi="微软雅黑" w:cs="宋体"/>
          <w:kern w:val="0"/>
          <w:sz w:val="32"/>
          <w:szCs w:val="32"/>
        </w:rPr>
        <w:t>基本持平</w:t>
      </w:r>
      <w:r>
        <w:rPr>
          <w:rFonts w:hint="eastAsia" w:ascii="微软雅黑" w:hAnsi="微软雅黑" w:cs="宋体"/>
          <w:kern w:val="0"/>
          <w:sz w:val="32"/>
          <w:szCs w:val="32"/>
          <w:lang w:eastAsia="zh-CN"/>
        </w:rPr>
        <w:t>。</w:t>
      </w:r>
      <w:bookmarkStart w:id="0" w:name="_GoBack"/>
      <w:bookmarkEnd w:id="0"/>
    </w:p>
    <w:p>
      <w:pPr>
        <w:widowControl/>
        <w:shd w:val="clear" w:color="auto" w:fill="FFFFFF"/>
        <w:spacing w:line="480" w:lineRule="auto"/>
        <w:ind w:firstLine="480"/>
        <w:rPr>
          <w:rFonts w:hint="eastAsia" w:ascii="微软雅黑" w:hAnsi="微软雅黑" w:cs="宋体"/>
          <w:kern w:val="0"/>
          <w:sz w:val="32"/>
          <w:szCs w:val="32"/>
        </w:rPr>
      </w:pPr>
      <w:r>
        <w:rPr>
          <w:rFonts w:ascii="微软雅黑" w:hAnsi="微软雅黑" w:cs="宋体"/>
          <w:kern w:val="0"/>
          <w:sz w:val="32"/>
          <w:szCs w:val="32"/>
        </w:rPr>
        <w:t>4</w:t>
      </w:r>
      <w:r>
        <w:rPr>
          <w:rFonts w:hint="eastAsia" w:ascii="微软雅黑" w:hAnsi="微软雅黑" w:cs="宋体"/>
          <w:kern w:val="0"/>
          <w:sz w:val="32"/>
          <w:szCs w:val="32"/>
        </w:rPr>
        <w:t>、</w:t>
      </w:r>
      <w:r>
        <w:rPr>
          <w:rFonts w:ascii="微软雅黑" w:hAnsi="微软雅黑" w:cs="宋体"/>
          <w:kern w:val="0"/>
          <w:sz w:val="32"/>
          <w:szCs w:val="32"/>
        </w:rPr>
        <w:t>管理制度</w:t>
      </w:r>
      <w:r>
        <w:rPr>
          <w:rFonts w:hint="eastAsia" w:ascii="微软雅黑" w:hAnsi="微软雅黑" w:cs="宋体"/>
          <w:kern w:val="0"/>
          <w:sz w:val="32"/>
          <w:szCs w:val="32"/>
        </w:rPr>
        <w:t>比较</w:t>
      </w:r>
      <w:r>
        <w:rPr>
          <w:rFonts w:ascii="微软雅黑" w:hAnsi="微软雅黑" w:cs="宋体"/>
          <w:kern w:val="0"/>
          <w:sz w:val="32"/>
          <w:szCs w:val="32"/>
        </w:rPr>
        <w:t>健全</w:t>
      </w:r>
      <w:r>
        <w:rPr>
          <w:rFonts w:hint="eastAsia" w:ascii="微软雅黑" w:hAnsi="微软雅黑" w:cs="宋体"/>
          <w:kern w:val="0"/>
          <w:sz w:val="32"/>
          <w:szCs w:val="32"/>
        </w:rPr>
        <w:t>。</w:t>
      </w:r>
      <w:r>
        <w:rPr>
          <w:rFonts w:ascii="微软雅黑" w:hAnsi="微软雅黑" w:cs="宋体"/>
          <w:kern w:val="0"/>
          <w:sz w:val="32"/>
          <w:szCs w:val="32"/>
        </w:rPr>
        <w:t>有内部财务管理制度、内部控制制度、会计核算制度等管理制度，部门厉行节约制度，考核制度</w:t>
      </w:r>
      <w:r>
        <w:rPr>
          <w:rFonts w:hint="eastAsia" w:ascii="微软雅黑" w:hAnsi="微软雅黑" w:cs="宋体"/>
          <w:kern w:val="0"/>
          <w:sz w:val="32"/>
          <w:szCs w:val="32"/>
        </w:rPr>
        <w:t>等</w:t>
      </w:r>
      <w:r>
        <w:rPr>
          <w:rFonts w:ascii="微软雅黑" w:hAnsi="微软雅黑" w:cs="宋体"/>
          <w:kern w:val="0"/>
          <w:sz w:val="32"/>
          <w:szCs w:val="32"/>
        </w:rPr>
        <w:t>。</w:t>
      </w:r>
    </w:p>
    <w:p>
      <w:pPr>
        <w:widowControl/>
        <w:shd w:val="clear" w:color="auto" w:fill="FFFFFF"/>
        <w:spacing w:line="480" w:lineRule="auto"/>
        <w:ind w:firstLine="480"/>
        <w:rPr>
          <w:rFonts w:hint="eastAsia" w:ascii="微软雅黑" w:hAnsi="微软雅黑" w:cs="宋体"/>
          <w:kern w:val="0"/>
          <w:sz w:val="32"/>
          <w:szCs w:val="32"/>
        </w:rPr>
      </w:pPr>
      <w:r>
        <w:rPr>
          <w:rFonts w:hint="eastAsia" w:ascii="微软雅黑" w:hAnsi="微软雅黑" w:cs="宋体"/>
          <w:kern w:val="0"/>
          <w:sz w:val="32"/>
          <w:szCs w:val="32"/>
        </w:rPr>
        <w:t>5、</w:t>
      </w:r>
      <w:r>
        <w:rPr>
          <w:rFonts w:ascii="微软雅黑" w:hAnsi="微软雅黑" w:cs="宋体"/>
          <w:kern w:val="0"/>
          <w:sz w:val="32"/>
          <w:szCs w:val="32"/>
        </w:rPr>
        <w:t>资金使用</w:t>
      </w:r>
      <w:r>
        <w:rPr>
          <w:rFonts w:hint="eastAsia" w:ascii="微软雅黑" w:hAnsi="微软雅黑" w:cs="宋体"/>
          <w:kern w:val="0"/>
          <w:sz w:val="32"/>
          <w:szCs w:val="32"/>
        </w:rPr>
        <w:t>比较</w:t>
      </w:r>
      <w:r>
        <w:rPr>
          <w:rFonts w:ascii="微软雅黑" w:hAnsi="微软雅黑" w:cs="宋体"/>
          <w:kern w:val="0"/>
          <w:sz w:val="32"/>
          <w:szCs w:val="32"/>
        </w:rPr>
        <w:t>合规</w:t>
      </w:r>
      <w:r>
        <w:rPr>
          <w:rFonts w:hint="eastAsia" w:ascii="微软雅黑" w:hAnsi="微软雅黑" w:cs="宋体"/>
          <w:kern w:val="0"/>
          <w:sz w:val="32"/>
          <w:szCs w:val="32"/>
        </w:rPr>
        <w:t>。</w:t>
      </w:r>
      <w:r>
        <w:rPr>
          <w:rFonts w:ascii="微软雅黑" w:hAnsi="微软雅黑" w:cs="宋体"/>
          <w:kern w:val="0"/>
          <w:sz w:val="32"/>
          <w:szCs w:val="32"/>
        </w:rPr>
        <w:t>本年度支出的所有资金均由县财政局国库支付，支出符合国家财经法规和财务管理制度规定以及有关专项资金管理办法的规定；资金使用无截留、挤占、挪用、虚列支出等情况。</w:t>
      </w:r>
    </w:p>
    <w:p>
      <w:pPr>
        <w:widowControl/>
        <w:shd w:val="clear" w:color="auto" w:fill="FFFFFF"/>
        <w:spacing w:line="480" w:lineRule="auto"/>
        <w:ind w:firstLine="480"/>
        <w:rPr>
          <w:rFonts w:hint="eastAsia" w:ascii="微软雅黑" w:hAnsi="微软雅黑" w:cs="宋体"/>
          <w:kern w:val="0"/>
          <w:sz w:val="32"/>
          <w:szCs w:val="32"/>
        </w:rPr>
      </w:pPr>
      <w:r>
        <w:rPr>
          <w:rFonts w:hint="eastAsia" w:ascii="微软雅黑" w:hAnsi="微软雅黑" w:cs="宋体"/>
          <w:kern w:val="0"/>
          <w:sz w:val="32"/>
          <w:szCs w:val="32"/>
        </w:rPr>
        <w:t>6、</w:t>
      </w:r>
      <w:r>
        <w:rPr>
          <w:rFonts w:ascii="微软雅黑" w:hAnsi="微软雅黑" w:cs="宋体"/>
          <w:kern w:val="0"/>
          <w:sz w:val="32"/>
          <w:szCs w:val="32"/>
        </w:rPr>
        <w:t>预决算信息按规定在县政府门户网站公开</w:t>
      </w:r>
      <w:r>
        <w:rPr>
          <w:rFonts w:hint="eastAsia" w:ascii="微软雅黑" w:hAnsi="微软雅黑" w:cs="宋体"/>
          <w:kern w:val="0"/>
          <w:sz w:val="32"/>
          <w:szCs w:val="32"/>
        </w:rPr>
        <w:t>，</w:t>
      </w:r>
      <w:r>
        <w:rPr>
          <w:rFonts w:ascii="微软雅黑" w:hAnsi="微软雅黑" w:cs="宋体"/>
          <w:kern w:val="0"/>
          <w:sz w:val="32"/>
          <w:szCs w:val="32"/>
        </w:rPr>
        <w:t>信息资料真实、完整、准确。</w:t>
      </w:r>
    </w:p>
    <w:p>
      <w:pPr>
        <w:widowControl/>
        <w:shd w:val="clear" w:color="auto" w:fill="FFFFFF"/>
        <w:spacing w:line="480" w:lineRule="auto"/>
        <w:ind w:firstLine="480"/>
        <w:rPr>
          <w:rFonts w:hint="eastAsia" w:ascii="微软雅黑" w:hAnsi="微软雅黑" w:cs="宋体"/>
          <w:kern w:val="0"/>
          <w:sz w:val="32"/>
          <w:szCs w:val="32"/>
        </w:rPr>
      </w:pPr>
      <w:r>
        <w:rPr>
          <w:rFonts w:ascii="微软雅黑" w:hAnsi="微软雅黑" w:cs="宋体"/>
          <w:kern w:val="0"/>
          <w:sz w:val="32"/>
          <w:szCs w:val="32"/>
        </w:rPr>
        <w:t>20</w:t>
      </w:r>
      <w:r>
        <w:rPr>
          <w:rFonts w:hint="eastAsia" w:ascii="微软雅黑" w:hAnsi="微软雅黑" w:cs="宋体"/>
          <w:kern w:val="0"/>
          <w:sz w:val="32"/>
          <w:szCs w:val="32"/>
          <w:lang w:val="en-US" w:eastAsia="zh-CN"/>
        </w:rPr>
        <w:t>20</w:t>
      </w:r>
      <w:r>
        <w:rPr>
          <w:rFonts w:ascii="微软雅黑" w:hAnsi="微软雅黑" w:cs="宋体"/>
          <w:kern w:val="0"/>
          <w:sz w:val="32"/>
          <w:szCs w:val="32"/>
        </w:rPr>
        <w:t>年我单位在全体干部职工的共同努力下</w:t>
      </w:r>
      <w:r>
        <w:rPr>
          <w:rFonts w:hint="eastAsia" w:ascii="微软雅黑" w:hAnsi="微软雅黑" w:cs="宋体"/>
          <w:kern w:val="0"/>
          <w:sz w:val="32"/>
          <w:szCs w:val="32"/>
        </w:rPr>
        <w:t>，</w:t>
      </w:r>
      <w:r>
        <w:rPr>
          <w:rFonts w:ascii="微软雅黑" w:hAnsi="微软雅黑" w:cs="宋体"/>
          <w:kern w:val="0"/>
          <w:sz w:val="32"/>
          <w:szCs w:val="32"/>
        </w:rPr>
        <w:t>不断改善行政管理、严格经费及资产管理，改进文风会风，精简会议，提高了行政效率，降低了行政成本</w:t>
      </w:r>
      <w:r>
        <w:rPr>
          <w:rFonts w:hint="eastAsia" w:ascii="微软雅黑" w:hAnsi="微软雅黑" w:cs="宋体"/>
          <w:kern w:val="0"/>
          <w:sz w:val="32"/>
          <w:szCs w:val="32"/>
        </w:rPr>
        <w:t>，</w:t>
      </w:r>
      <w:r>
        <w:rPr>
          <w:rFonts w:ascii="微软雅黑" w:hAnsi="微软雅黑" w:cs="宋体"/>
          <w:kern w:val="0"/>
          <w:sz w:val="32"/>
          <w:szCs w:val="32"/>
        </w:rPr>
        <w:t>圆满完成了各项工作目标和任务</w:t>
      </w:r>
      <w:r>
        <w:rPr>
          <w:rFonts w:hint="eastAsia" w:ascii="微软雅黑" w:hAnsi="微软雅黑" w:cs="宋体"/>
          <w:kern w:val="0"/>
          <w:sz w:val="32"/>
          <w:szCs w:val="32"/>
        </w:rPr>
        <w:t>，</w:t>
      </w:r>
      <w:r>
        <w:rPr>
          <w:rFonts w:ascii="微软雅黑" w:hAnsi="微软雅黑" w:cs="宋体"/>
          <w:kern w:val="0"/>
          <w:sz w:val="32"/>
          <w:szCs w:val="32"/>
        </w:rPr>
        <w:t>各方面工作都得到社会大众的肯定和好评</w:t>
      </w:r>
      <w:r>
        <w:rPr>
          <w:rFonts w:hint="eastAsia" w:ascii="微软雅黑" w:hAnsi="微软雅黑" w:cs="宋体"/>
          <w:kern w:val="0"/>
          <w:sz w:val="32"/>
          <w:szCs w:val="32"/>
        </w:rPr>
        <w:t>，</w:t>
      </w:r>
      <w:r>
        <w:rPr>
          <w:rFonts w:ascii="微软雅黑" w:hAnsi="微软雅黑" w:cs="宋体"/>
          <w:kern w:val="0"/>
          <w:sz w:val="32"/>
          <w:szCs w:val="32"/>
        </w:rPr>
        <w:t xml:space="preserve"> </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三、存在的问题及原因</w:t>
      </w:r>
    </w:p>
    <w:p>
      <w:pPr>
        <w:spacing w:line="520" w:lineRule="exact"/>
        <w:ind w:firstLine="614" w:firstLineChars="192"/>
        <w:rPr>
          <w:rFonts w:ascii="Arial" w:hAnsi="Arial" w:eastAsia="Arial" w:cs="Arial"/>
          <w:i w:val="0"/>
          <w:caps w:val="0"/>
          <w:color w:val="333333"/>
          <w:spacing w:val="0"/>
          <w:sz w:val="32"/>
          <w:szCs w:val="32"/>
          <w:shd w:val="clear" w:color="auto" w:fill="FFFFFF"/>
        </w:rPr>
      </w:pPr>
      <w:r>
        <w:rPr>
          <w:rFonts w:ascii="Arial" w:hAnsi="Arial" w:eastAsia="Arial" w:cs="Arial"/>
          <w:i w:val="0"/>
          <w:caps w:val="0"/>
          <w:color w:val="333333"/>
          <w:spacing w:val="0"/>
          <w:sz w:val="32"/>
          <w:szCs w:val="32"/>
          <w:shd w:val="clear" w:color="auto" w:fill="FFFFFF"/>
        </w:rPr>
        <w:t>由于预算编制涉及部门多、项目专业性强、指标体系复杂。加之，预算编报时</w:t>
      </w:r>
      <w:r>
        <w:rPr>
          <w:rFonts w:hint="eastAsia" w:ascii="Arial" w:hAnsi="Arial" w:eastAsia="宋体" w:cs="Arial"/>
          <w:i w:val="0"/>
          <w:caps w:val="0"/>
          <w:color w:val="333333"/>
          <w:spacing w:val="0"/>
          <w:sz w:val="32"/>
          <w:szCs w:val="32"/>
          <w:shd w:val="clear" w:color="auto" w:fill="FFFFFF"/>
          <w:lang w:eastAsia="zh-CN"/>
        </w:rPr>
        <w:t>间</w:t>
      </w:r>
      <w:r>
        <w:rPr>
          <w:rFonts w:ascii="Arial" w:hAnsi="Arial" w:eastAsia="Arial" w:cs="Arial"/>
          <w:i w:val="0"/>
          <w:caps w:val="0"/>
          <w:color w:val="333333"/>
          <w:spacing w:val="0"/>
          <w:sz w:val="32"/>
          <w:szCs w:val="32"/>
          <w:shd w:val="clear" w:color="auto" w:fill="FFFFFF"/>
        </w:rPr>
        <w:t>有限，往往</w:t>
      </w:r>
      <w:r>
        <w:rPr>
          <w:rFonts w:hint="eastAsia" w:ascii="Arial" w:hAnsi="Arial" w:eastAsia="宋体" w:cs="Arial"/>
          <w:i w:val="0"/>
          <w:caps w:val="0"/>
          <w:color w:val="333333"/>
          <w:spacing w:val="0"/>
          <w:sz w:val="32"/>
          <w:szCs w:val="32"/>
          <w:shd w:val="clear" w:color="auto" w:fill="FFFFFF"/>
          <w:lang w:eastAsia="zh-CN"/>
        </w:rPr>
        <w:t>缺少</w:t>
      </w:r>
      <w:r>
        <w:rPr>
          <w:rFonts w:ascii="Arial" w:hAnsi="Arial" w:eastAsia="Arial" w:cs="Arial"/>
          <w:i w:val="0"/>
          <w:caps w:val="0"/>
          <w:color w:val="333333"/>
          <w:spacing w:val="0"/>
          <w:sz w:val="32"/>
          <w:szCs w:val="32"/>
          <w:shd w:val="clear" w:color="auto" w:fill="FFFFFF"/>
        </w:rPr>
        <w:t>从绩效管理和资金使用效率的角度认真研究设置绩效指标;因此，导致看起来详细完整的预算数字和绩效指标，在一定程度上缺乏科学性和准确性。</w:t>
      </w:r>
    </w:p>
    <w:p>
      <w:pPr>
        <w:spacing w:line="520" w:lineRule="exact"/>
        <w:ind w:firstLine="614" w:firstLineChars="192"/>
        <w:rPr>
          <w:rFonts w:ascii="Arial" w:hAnsi="Arial" w:eastAsia="Arial" w:cs="Arial"/>
          <w:i w:val="0"/>
          <w:caps w:val="0"/>
          <w:color w:val="333333"/>
          <w:spacing w:val="0"/>
          <w:sz w:val="32"/>
          <w:szCs w:val="32"/>
          <w:shd w:val="clear" w:color="auto" w:fill="FFFFFF"/>
        </w:rPr>
      </w:pPr>
      <w:r>
        <w:rPr>
          <w:rFonts w:ascii="Arial" w:hAnsi="Arial" w:eastAsia="Arial" w:cs="Arial"/>
          <w:i w:val="0"/>
          <w:caps w:val="0"/>
          <w:color w:val="333333"/>
          <w:spacing w:val="0"/>
          <w:sz w:val="32"/>
          <w:szCs w:val="32"/>
          <w:shd w:val="clear" w:color="auto" w:fill="FFFFFF"/>
        </w:rPr>
        <w:t>单位主要领导对全面预算绩效管理的认识</w:t>
      </w:r>
      <w:r>
        <w:rPr>
          <w:rFonts w:hint="eastAsia" w:ascii="Arial" w:hAnsi="Arial" w:eastAsia="宋体" w:cs="Arial"/>
          <w:i w:val="0"/>
          <w:caps w:val="0"/>
          <w:color w:val="333333"/>
          <w:spacing w:val="0"/>
          <w:sz w:val="32"/>
          <w:szCs w:val="32"/>
          <w:shd w:val="clear" w:color="auto" w:fill="FFFFFF"/>
          <w:lang w:eastAsia="zh-CN"/>
        </w:rPr>
        <w:t>不</w:t>
      </w:r>
      <w:r>
        <w:rPr>
          <w:rFonts w:ascii="Arial" w:hAnsi="Arial" w:eastAsia="Arial" w:cs="Arial"/>
          <w:i w:val="0"/>
          <w:caps w:val="0"/>
          <w:color w:val="333333"/>
          <w:spacing w:val="0"/>
          <w:sz w:val="32"/>
          <w:szCs w:val="32"/>
          <w:shd w:val="clear" w:color="auto" w:fill="FFFFFF"/>
        </w:rPr>
        <w:t>足，常常导致对该项工作的重视和支持</w:t>
      </w:r>
      <w:r>
        <w:rPr>
          <w:rFonts w:hint="eastAsia" w:ascii="Arial" w:hAnsi="Arial" w:eastAsia="宋体" w:cs="Arial"/>
          <w:i w:val="0"/>
          <w:caps w:val="0"/>
          <w:color w:val="333333"/>
          <w:spacing w:val="0"/>
          <w:sz w:val="32"/>
          <w:szCs w:val="32"/>
          <w:shd w:val="clear" w:color="auto" w:fill="FFFFFF"/>
          <w:lang w:eastAsia="zh-CN"/>
        </w:rPr>
        <w:t>不</w:t>
      </w:r>
      <w:r>
        <w:rPr>
          <w:rFonts w:ascii="Arial" w:hAnsi="Arial" w:eastAsia="Arial" w:cs="Arial"/>
          <w:i w:val="0"/>
          <w:caps w:val="0"/>
          <w:color w:val="333333"/>
          <w:spacing w:val="0"/>
          <w:sz w:val="32"/>
          <w:szCs w:val="32"/>
          <w:shd w:val="clear" w:color="auto" w:fill="FFFFFF"/>
        </w:rPr>
        <w:t>够</w:t>
      </w:r>
      <w:r>
        <w:rPr>
          <w:rFonts w:hint="eastAsia" w:ascii="Arial" w:hAnsi="Arial" w:eastAsia="宋体" w:cs="Arial"/>
          <w:i w:val="0"/>
          <w:caps w:val="0"/>
          <w:color w:val="333333"/>
          <w:spacing w:val="0"/>
          <w:sz w:val="32"/>
          <w:szCs w:val="32"/>
          <w:shd w:val="clear" w:color="auto" w:fill="FFFFFF"/>
          <w:lang w:eastAsia="zh-CN"/>
        </w:rPr>
        <w:t>，</w:t>
      </w:r>
      <w:r>
        <w:rPr>
          <w:rFonts w:ascii="Arial" w:hAnsi="Arial" w:eastAsia="Arial" w:cs="Arial"/>
          <w:i w:val="0"/>
          <w:caps w:val="0"/>
          <w:color w:val="333333"/>
          <w:spacing w:val="0"/>
          <w:sz w:val="32"/>
          <w:szCs w:val="32"/>
          <w:shd w:val="clear" w:color="auto" w:fill="FFFFFF"/>
        </w:rPr>
        <w:t>造成单位预算绩效管理工作开展困难或流于形式。</w:t>
      </w:r>
    </w:p>
    <w:p>
      <w:pPr>
        <w:spacing w:line="520" w:lineRule="exact"/>
        <w:ind w:firstLine="614" w:firstLineChars="192"/>
        <w:rPr>
          <w:rFonts w:hint="eastAsia" w:ascii="黑体" w:hAnsi="黑体" w:eastAsia="黑体"/>
          <w:sz w:val="32"/>
          <w:szCs w:val="32"/>
        </w:rPr>
      </w:pPr>
      <w:r>
        <w:rPr>
          <w:rFonts w:hint="eastAsia" w:ascii="黑体" w:hAnsi="黑体" w:eastAsia="黑体"/>
          <w:sz w:val="32"/>
          <w:szCs w:val="32"/>
        </w:rPr>
        <w:t>四、提高财政资金绩效的措施与建议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390"/>
        <w:rPr>
          <w:rFonts w:hint="default" w:ascii="Arial" w:hAnsi="Arial" w:eastAsia="Arial" w:cs="Arial"/>
          <w:i w:val="0"/>
          <w:caps w:val="0"/>
          <w:color w:val="333333"/>
          <w:spacing w:val="0"/>
          <w:sz w:val="32"/>
          <w:szCs w:val="32"/>
          <w:shd w:val="clear" w:color="auto" w:fill="FFFFFF"/>
        </w:rPr>
      </w:pPr>
      <w:r>
        <w:rPr>
          <w:rFonts w:hint="eastAsia" w:ascii="Arial" w:hAnsi="Arial" w:eastAsia="宋体" w:cs="Arial"/>
          <w:i w:val="0"/>
          <w:caps w:val="0"/>
          <w:color w:val="333333"/>
          <w:spacing w:val="0"/>
          <w:sz w:val="32"/>
          <w:szCs w:val="32"/>
          <w:shd w:val="clear" w:color="auto" w:fill="FFFFFF"/>
          <w:lang w:val="en-US" w:eastAsia="zh-CN"/>
        </w:rPr>
        <w:t>1、</w:t>
      </w:r>
      <w:r>
        <w:rPr>
          <w:rFonts w:hint="default" w:ascii="Arial" w:hAnsi="Arial" w:eastAsia="Arial" w:cs="Arial"/>
          <w:i w:val="0"/>
          <w:caps w:val="0"/>
          <w:color w:val="333333"/>
          <w:spacing w:val="0"/>
          <w:sz w:val="32"/>
          <w:szCs w:val="32"/>
          <w:shd w:val="clear" w:color="auto" w:fill="FFFFFF"/>
        </w:rPr>
        <w:t>通过培训提高单位对预算绩效管理的认识，使其充分认识到预算绩效管理，是单位内部控制</w:t>
      </w:r>
      <w:r>
        <w:rPr>
          <w:rFonts w:hint="eastAsia" w:ascii="Arial" w:hAnsi="Arial" w:eastAsia="宋体" w:cs="Arial"/>
          <w:i w:val="0"/>
          <w:caps w:val="0"/>
          <w:color w:val="333333"/>
          <w:spacing w:val="0"/>
          <w:sz w:val="32"/>
          <w:szCs w:val="32"/>
          <w:shd w:val="clear" w:color="auto" w:fill="FFFFFF"/>
          <w:lang w:eastAsia="zh-CN"/>
        </w:rPr>
        <w:t>不</w:t>
      </w:r>
      <w:r>
        <w:rPr>
          <w:rFonts w:hint="default" w:ascii="Arial" w:hAnsi="Arial" w:eastAsia="Arial" w:cs="Arial"/>
          <w:i w:val="0"/>
          <w:caps w:val="0"/>
          <w:color w:val="333333"/>
          <w:spacing w:val="0"/>
          <w:sz w:val="32"/>
          <w:szCs w:val="32"/>
          <w:shd w:val="clear" w:color="auto" w:fill="FFFFFF"/>
        </w:rPr>
        <w:t>可缺少的部分，是实现单位发展规划、最大限度发挥单位职能和完成年度目标任务的有效手段。</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390"/>
        <w:rPr>
          <w:rFonts w:hint="default" w:ascii="Arial" w:hAnsi="Arial" w:eastAsia="Arial" w:cs="Arial"/>
          <w:i w:val="0"/>
          <w:caps w:val="0"/>
          <w:color w:val="333333"/>
          <w:spacing w:val="0"/>
          <w:sz w:val="32"/>
          <w:szCs w:val="32"/>
          <w:shd w:val="clear" w:color="auto" w:fill="FFFFFF"/>
        </w:rPr>
      </w:pPr>
      <w:r>
        <w:rPr>
          <w:rFonts w:ascii="Arial" w:hAnsi="Arial" w:eastAsia="Arial" w:cs="Arial"/>
          <w:i w:val="0"/>
          <w:caps w:val="0"/>
          <w:color w:val="333333"/>
          <w:spacing w:val="0"/>
          <w:sz w:val="32"/>
          <w:szCs w:val="32"/>
          <w:shd w:val="clear" w:color="auto" w:fill="FFFFFF"/>
        </w:rPr>
        <w:t>提高基层事业单位科学制定和编制预算绩效指标的能力</w:t>
      </w:r>
      <w:r>
        <w:rPr>
          <w:rFonts w:hint="eastAsia" w:ascii="Arial" w:hAnsi="Arial" w:eastAsia="宋体" w:cs="Arial"/>
          <w:i w:val="0"/>
          <w:caps w:val="0"/>
          <w:color w:val="333333"/>
          <w:spacing w:val="0"/>
          <w:sz w:val="32"/>
          <w:szCs w:val="32"/>
          <w:shd w:val="clear" w:color="auto" w:fill="FFFFFF"/>
          <w:lang w:eastAsia="zh-CN"/>
        </w:rPr>
        <w:t>，</w:t>
      </w:r>
      <w:r>
        <w:rPr>
          <w:rFonts w:ascii="Arial" w:hAnsi="Arial" w:eastAsia="Arial" w:cs="Arial"/>
          <w:i w:val="0"/>
          <w:caps w:val="0"/>
          <w:color w:val="333333"/>
          <w:spacing w:val="0"/>
          <w:sz w:val="32"/>
          <w:szCs w:val="32"/>
          <w:shd w:val="clear" w:color="auto" w:fill="FFFFFF"/>
        </w:rPr>
        <w:t>对基层事业单位项目负责人及预算管理人员加强业务培训，提高预算绩效管理政策理解和综合协调能力。要求单位按照预算绩效管理制度的规定，完善或修订单位内控管理制度和作业流程。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93E37"/>
    <w:multiLevelType w:val="singleLevel"/>
    <w:tmpl w:val="97A93E37"/>
    <w:lvl w:ilvl="0" w:tentative="0">
      <w:start w:val="2"/>
      <w:numFmt w:val="chineseCounting"/>
      <w:suff w:val="nothing"/>
      <w:lvlText w:val="%1、"/>
      <w:lvlJc w:val="left"/>
      <w:rPr>
        <w:rFonts w:hint="eastAsia"/>
      </w:rPr>
    </w:lvl>
  </w:abstractNum>
  <w:abstractNum w:abstractNumId="1">
    <w:nsid w:val="1BECE017"/>
    <w:multiLevelType w:val="singleLevel"/>
    <w:tmpl w:val="1BECE017"/>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33DF7"/>
    <w:rsid w:val="14264911"/>
    <w:rsid w:val="15712AE2"/>
    <w:rsid w:val="29DF768F"/>
    <w:rsid w:val="2DB53386"/>
    <w:rsid w:val="33733DF7"/>
    <w:rsid w:val="3FFB187A"/>
    <w:rsid w:val="47602C30"/>
    <w:rsid w:val="4B633269"/>
    <w:rsid w:val="5E5D7D30"/>
    <w:rsid w:val="63886241"/>
    <w:rsid w:val="6A647DCF"/>
    <w:rsid w:val="762828AC"/>
    <w:rsid w:val="7CD849A4"/>
    <w:rsid w:val="7DD60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
    <w:name w:val="列出段落1"/>
    <w:basedOn w:val="1"/>
    <w:qFormat/>
    <w:uiPriority w:val="99"/>
    <w:pPr>
      <w:ind w:firstLine="420" w:firstLineChars="200"/>
    </w:pPr>
  </w:style>
  <w:style w:type="paragraph" w:customStyle="1" w:styleId="6">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2021-09-18T06:35:00Z</dcterms:created>
  <dc:creator>Administrator</dc:creator>
  <cp:lastModifiedBy>Administrator</cp:lastModifiedBy>
  <cp:lastPrinted>2021-09-23T02:19:07Z</cp:lastPrinted>
  <dcterms:modified xsi:type="dcterms:W3CDTF">2021-09-23T02:23:53Z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BA6758EEF2564DAAAD7BA8445D413719</vt:lpwstr>
  </property>
</Properties>
</file>