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</w:p>
    <w:p>
      <w:pPr>
        <w:pStyle w:val="4"/>
        <w:jc w:val="center"/>
        <w:rPr>
          <w:sz w:val="84"/>
          <w:szCs w:val="84"/>
        </w:rPr>
      </w:pPr>
      <w:bookmarkStart w:id="0" w:name="_GoBack"/>
      <w:r>
        <w:rPr>
          <w:sz w:val="84"/>
          <w:szCs w:val="84"/>
        </w:rPr>
        <w:t>2019</w:t>
      </w:r>
      <w:r>
        <w:rPr>
          <w:rFonts w:hint="eastAsia"/>
          <w:sz w:val="84"/>
          <w:szCs w:val="84"/>
        </w:rPr>
        <w:t>年度</w:t>
      </w:r>
    </w:p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  <w:r>
        <w:rPr>
          <w:rFonts w:hint="eastAsia"/>
          <w:sz w:val="84"/>
          <w:szCs w:val="84"/>
          <w:lang w:eastAsia="zh-CN"/>
        </w:rPr>
        <w:t>邵东市黑田铺镇人民政府</w:t>
      </w:r>
      <w:r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  <w:t>部门整体支出绩效评价报告</w:t>
      </w:r>
    </w:p>
    <w:bookmarkEnd w:id="0"/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4"/>
        <w:jc w:val="center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4"/>
        <w:jc w:val="both"/>
        <w:rPr>
          <w:rFonts w:hint="eastAsia" w:ascii="黑体" w:hAnsi="黑体" w:eastAsia="黑体" w:cs="黑体"/>
          <w:color w:val="000000"/>
          <w:kern w:val="0"/>
          <w:sz w:val="84"/>
          <w:szCs w:val="84"/>
          <w:lang w:val="en-US" w:eastAsia="zh-CN" w:bidi="ar-SA"/>
        </w:rPr>
      </w:pPr>
    </w:p>
    <w:p>
      <w:pPr>
        <w:pStyle w:val="5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一、部门职责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Theme="minorEastAsia" w:hAnsiTheme="minorEastAsia" w:eastAsiaTheme="minorEastAsia" w:cstheme="minorEastAsia"/>
          <w:sz w:val="28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负责全镇的社会和经济发展计划、预算、管理本乡的经济、教育、科技、文化、卫生、体育事业和财政、民政、治安、人民调解、安全生产监督、计划生育事物等行政工作。执行本级人民代表大会决议以及上级国家行政机关的决定和命令。</w:t>
      </w:r>
    </w:p>
    <w:p>
      <w:pPr>
        <w:widowControl/>
        <w:numPr>
          <w:ilvl w:val="0"/>
          <w:numId w:val="1"/>
        </w:numPr>
        <w:spacing w:line="600" w:lineRule="exac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部门概况</w:t>
      </w:r>
    </w:p>
    <w:p>
      <w:pPr>
        <w:widowControl/>
        <w:numPr>
          <w:numId w:val="0"/>
        </w:numPr>
        <w:spacing w:line="600" w:lineRule="exact"/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/>
          <w:bCs/>
          <w:kern w:val="0"/>
          <w:sz w:val="32"/>
          <w:szCs w:val="32"/>
        </w:rPr>
        <w:t>本单位内设机构包括：</w:t>
      </w:r>
      <w:r>
        <w:rPr>
          <w:rFonts w:hint="eastAsia" w:ascii="宋体"/>
          <w:bCs/>
          <w:kern w:val="0"/>
          <w:sz w:val="32"/>
          <w:szCs w:val="32"/>
        </w:rPr>
        <w:t>黑田铺镇人民政府、黑田铺镇财政所、黑田铺镇综合行政执法大队、黑田铺镇农业综合服务中心、黑田铺镇政务（便民）服务中心、黑田铺镇社会事务综合服务中心、黑田铺镇退役军人服务站。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现有行政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单位在职人员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37人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、全额事业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单位在职人员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4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、直接纳入财政预算的聘用人员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其他人员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14人。</w:t>
      </w:r>
    </w:p>
    <w:p>
      <w:pPr>
        <w:widowControl/>
        <w:numPr>
          <w:ilvl w:val="0"/>
          <w:numId w:val="1"/>
        </w:numPr>
        <w:spacing w:line="600" w:lineRule="exact"/>
        <w:rPr>
          <w:rFonts w:hint="eastAsia" w:ascii="宋体" w:hAnsi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部门财政资金支出情况</w:t>
      </w:r>
    </w:p>
    <w:p>
      <w:pPr>
        <w:pStyle w:val="4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2019 </w:t>
      </w:r>
      <w:r>
        <w:rPr>
          <w:rFonts w:hint="eastAsia" w:ascii="宋体" w:hAnsi="宋体" w:eastAsia="宋体"/>
          <w:sz w:val="32"/>
          <w:szCs w:val="32"/>
        </w:rPr>
        <w:t>年度收、支总计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2822.8</w:t>
      </w:r>
      <w:r>
        <w:rPr>
          <w:rFonts w:hint="eastAsia" w:ascii="宋体" w:hAnsi="宋体" w:eastAsia="宋体"/>
          <w:sz w:val="32"/>
          <w:szCs w:val="32"/>
        </w:rPr>
        <w:t>万元。与</w:t>
      </w:r>
      <w:r>
        <w:rPr>
          <w:rFonts w:ascii="宋体" w:hAnsi="宋体" w:eastAsia="宋体"/>
          <w:sz w:val="32"/>
          <w:szCs w:val="32"/>
        </w:rPr>
        <w:t>2018</w:t>
      </w:r>
      <w:r>
        <w:rPr>
          <w:rFonts w:hint="eastAsia" w:ascii="宋体" w:hAnsi="宋体" w:eastAsia="宋体"/>
          <w:sz w:val="32"/>
          <w:szCs w:val="32"/>
        </w:rPr>
        <w:t>年相比，减少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1228.85</w:t>
      </w:r>
      <w:r>
        <w:rPr>
          <w:rFonts w:hint="eastAsia"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30.33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/>
          <w:sz w:val="32"/>
          <w:szCs w:val="32"/>
        </w:rPr>
        <w:t>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1178.06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41.73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</w:rPr>
        <w:t>；项目支出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1644.74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58.27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/>
          <w:sz w:val="32"/>
          <w:szCs w:val="32"/>
        </w:rPr>
        <w:t>人员经费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892.07</w:t>
      </w:r>
      <w:r>
        <w:rPr>
          <w:rFonts w:hint="eastAsia" w:ascii="宋体" w:hAnsi="宋体" w:eastAsia="宋体"/>
          <w:sz w:val="32"/>
          <w:szCs w:val="32"/>
        </w:rPr>
        <w:t>万元，占基本支出的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31.6</w:t>
      </w:r>
      <w:r>
        <w:rPr>
          <w:rFonts w:ascii="宋体" w:hAnsi="宋体" w:eastAsia="宋体"/>
          <w:sz w:val="32"/>
          <w:szCs w:val="32"/>
        </w:rPr>
        <w:t>%,</w:t>
      </w:r>
      <w:r>
        <w:rPr>
          <w:rFonts w:hint="eastAsia" w:ascii="宋体" w:hAnsi="宋体" w:eastAsia="宋体"/>
          <w:sz w:val="32"/>
          <w:szCs w:val="32"/>
        </w:rPr>
        <w:t>公用经费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286</w:t>
      </w:r>
      <w:r>
        <w:rPr>
          <w:rFonts w:hint="eastAsia" w:ascii="宋体" w:hAnsi="宋体" w:eastAsia="宋体"/>
          <w:sz w:val="32"/>
          <w:szCs w:val="32"/>
        </w:rPr>
        <w:t>万元，占基本支出的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10.13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2019</w:t>
      </w:r>
      <w:r>
        <w:rPr>
          <w:rFonts w:hint="eastAsia" w:ascii="宋体" w:hAnsi="宋体" w:eastAsia="宋体"/>
          <w:sz w:val="32"/>
          <w:szCs w:val="32"/>
        </w:rPr>
        <w:t>年度“三公”经费财政拨款支出决算中，公务接待费支出决算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1.68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</w:t>
      </w:r>
      <w:r>
        <w:rPr>
          <w:rFonts w:ascii="宋体" w:hAnsi="宋体" w:eastAsia="宋体"/>
          <w:sz w:val="32"/>
          <w:szCs w:val="32"/>
        </w:rPr>
        <w:t>%,</w:t>
      </w:r>
      <w:r>
        <w:rPr>
          <w:rFonts w:hint="eastAsia" w:ascii="宋体" w:hAnsi="宋体" w:eastAsia="宋体"/>
          <w:sz w:val="32"/>
          <w:szCs w:val="32"/>
        </w:rPr>
        <w:t>因公出国（境）费支出决算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0</w:t>
      </w:r>
      <w:r>
        <w:rPr>
          <w:rFonts w:ascii="宋体" w:hAnsi="宋体" w:eastAsia="宋体"/>
          <w:sz w:val="32"/>
          <w:szCs w:val="32"/>
        </w:rPr>
        <w:t>%,</w:t>
      </w:r>
      <w:r>
        <w:rPr>
          <w:rFonts w:hint="eastAsia" w:ascii="宋体" w:hAnsi="宋体" w:eastAsia="宋体"/>
          <w:sz w:val="32"/>
          <w:szCs w:val="32"/>
        </w:rPr>
        <w:t>公务用车购置费及运行维护费支出决算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4.32</w:t>
      </w:r>
      <w:r>
        <w:rPr>
          <w:rFonts w:hint="eastAsia"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72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部门财政资金支出情况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（一）预决算编制情况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预算编制严格按照县预算编制方案科学合理编制本部门预算，提前做好情况摸底、数据收集、填报绩效目标、细化专项预算，根据定员和人员经费标准、日常公用经费定额计算确定经费预算，从严控制事业经费，按照“零增长”的原则编制“三公经费”预算，压缩公业务费。科学编制项目支出，按照“谁申请资金，谁编制目标”的要求，编制部门预算项目绩效目标。按时完成预算编制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（二）执行管理情况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1.加强预算管理和执行力度，本着“以收定支，量入为出，保证重点”的原则，本年度严格按照有关规定和工作需要，合理、科学的对资金进行有序安排，基本支出按照月度均衡原则使用资金，年底预算执行率达</w:t>
      </w:r>
      <w:r>
        <w:rPr>
          <w:rFonts w:hint="eastAsia" w:ascii="宋体" w:hAnsi="宋体"/>
          <w:sz w:val="32"/>
          <w:szCs w:val="32"/>
          <w:lang w:val="en-US" w:eastAsia="zh-CN"/>
        </w:rPr>
        <w:t>100</w:t>
      </w:r>
      <w:r>
        <w:rPr>
          <w:rFonts w:hint="eastAsia" w:ascii="宋体" w:hAnsi="宋体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2.严格按照财务管理制度和财经纪律，实现一把手管财务，一只笔签字的财务管理办法。接待费、差旅费、公务用车、办公用品等按照经办人申请、分管领导审核、单位主要负责人审签的办法执行。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（三）综合管理情况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1.严格按照“八项规定”和《党风廉政建设责任制》要求，制定完善了内部控制管理制度、机关财务管理制度、公务接待制度，加强财务管理，严格财务监督。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2.按照例行节约，物尽其用的原则，资产管理采取统一建账，统一录入资产管理系统，对每件固定资产使用明确保管职责，闲置的资产，由办公室统一调整，合理流动，发挥其效益，落实专人负责资产报表，报表数据真实、准确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3.按时将部门的预算、决算、绩效评价情况相关信息在公告栏上进行了公开。2018年严格按照支出绩效评价指标体系内容开展绩效管理工作，财务状况更加公开、透明。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（四）整体绩效情况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严格执行中央八项规定和财务管理制度，根据年初预算，除优先安排人员基本经费支出外，合理安排日常公用经费资金，做到厉行节约、精打细算，把有效的资金用到刀刃上，保证机关各项工作的正常运转。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6C5FB"/>
    <w:multiLevelType w:val="singleLevel"/>
    <w:tmpl w:val="B0A6C5F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0B0C"/>
    <w:rsid w:val="58E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2020-09-21T07:04:00Z</dcterms:created>
  <dc:creator>萧航宇</dc:creator>
  <cp:lastModifiedBy>萧航宇</cp:lastModifiedBy>
  <dcterms:modified xsi:type="dcterms:W3CDTF">2020-09-21T07:22:08Z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