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大标宋简体" w:eastAsia="方正大标宋简体" w:cs="方正大标宋简体"/>
          <w:sz w:val="28"/>
          <w:szCs w:val="28"/>
        </w:rPr>
      </w:pPr>
      <w:r>
        <w:rPr>
          <w:rFonts w:hint="eastAsia"/>
          <w:sz w:val="21"/>
          <w:szCs w:val="21"/>
        </w:rPr>
        <w:t xml:space="preserve">                     </w:t>
      </w:r>
      <w:r>
        <w:rPr>
          <w:rFonts w:hint="eastAsia"/>
          <w:sz w:val="24"/>
          <w:szCs w:val="24"/>
        </w:rPr>
        <w:t xml:space="preserve">    </w:t>
      </w:r>
      <w:r>
        <w:rPr>
          <w:rFonts w:hint="eastAsia" w:ascii="方正大标宋简体" w:eastAsia="方正大标宋简体" w:cs="方正大标宋简体"/>
          <w:sz w:val="28"/>
          <w:szCs w:val="28"/>
        </w:rPr>
        <w:t>建设</w:t>
      </w:r>
      <w:r>
        <w:rPr>
          <w:rFonts w:hint="eastAsia" w:ascii="方正大标宋简体" w:eastAsia="方正大标宋简体" w:cs="方正大标宋简体"/>
          <w:sz w:val="28"/>
          <w:szCs w:val="28"/>
          <w:lang w:eastAsia="zh-CN"/>
        </w:rPr>
        <w:t>项目</w:t>
      </w:r>
      <w:r>
        <w:rPr>
          <w:rFonts w:hint="eastAsia" w:ascii="方正大标宋简体" w:eastAsia="方正大标宋简体" w:cs="方正大标宋简体"/>
          <w:sz w:val="28"/>
          <w:szCs w:val="28"/>
        </w:rPr>
        <w:t>拟作出审批意见公开</w:t>
      </w:r>
    </w:p>
    <w:p>
      <w:pPr>
        <w:widowControl w:val="0"/>
        <w:spacing w:line="460" w:lineRule="exact"/>
        <w:jc w:val="left"/>
        <w:rPr>
          <w:sz w:val="24"/>
          <w:szCs w:val="24"/>
        </w:rPr>
      </w:pPr>
      <w:r>
        <w:rPr>
          <w:rFonts w:hint="eastAsia" w:cs="宋体"/>
          <w:sz w:val="24"/>
          <w:szCs w:val="24"/>
        </w:rPr>
        <w:t>经审议，我局拟批准</w:t>
      </w:r>
      <w:r>
        <w:rPr>
          <w:rFonts w:hint="default" w:ascii="Times New Roman" w:hAnsi="Times New Roman" w:eastAsia="宋体" w:cs="Times New Roman"/>
          <w:b w:val="0"/>
          <w:bCs w:val="0"/>
          <w:sz w:val="24"/>
          <w:szCs w:val="24"/>
          <w:lang w:val="en-US" w:eastAsia="zh-CN"/>
        </w:rPr>
        <w:t>《</w:t>
      </w:r>
      <w:r>
        <w:rPr>
          <w:rFonts w:hint="eastAsia" w:cs="宋体"/>
          <w:sz w:val="24"/>
          <w:szCs w:val="24"/>
          <w:lang w:eastAsia="zh-CN"/>
        </w:rPr>
        <w:t>邵东</w:t>
      </w:r>
      <w:r>
        <w:rPr>
          <w:rFonts w:hint="eastAsia" w:ascii="宋体" w:hAnsi="宋体" w:eastAsia="宋体" w:cs="宋体"/>
          <w:b w:val="0"/>
          <w:bCs/>
          <w:color w:val="auto"/>
          <w:sz w:val="24"/>
          <w:szCs w:val="24"/>
          <w:lang w:eastAsia="zh-CN"/>
        </w:rPr>
        <w:t>市军蜜背包</w:t>
      </w:r>
      <w:r>
        <w:rPr>
          <w:rFonts w:hint="eastAsia" w:ascii="宋体" w:hAnsi="宋体" w:eastAsia="宋体" w:cs="宋体"/>
          <w:sz w:val="24"/>
          <w:szCs w:val="24"/>
          <w:lang w:eastAsia="zh-CN"/>
        </w:rPr>
        <w:t>有限公司</w:t>
      </w:r>
      <w:r>
        <w:rPr>
          <w:rFonts w:hint="eastAsia" w:ascii="宋体" w:hAnsi="宋体" w:eastAsia="宋体" w:cs="宋体"/>
          <w:color w:val="auto"/>
          <w:kern w:val="0"/>
          <w:sz w:val="24"/>
          <w:szCs w:val="24"/>
          <w:lang w:eastAsia="zh-CN"/>
        </w:rPr>
        <w:t>年产8万个书包壳、6万套拉杆箱壳建设</w:t>
      </w:r>
      <w:r>
        <w:rPr>
          <w:rFonts w:hint="eastAsia" w:ascii="Times New Roman" w:hAnsi="Times New Roman" w:cs="Times New Roman"/>
          <w:b w:val="0"/>
          <w:bCs w:val="0"/>
          <w:sz w:val="24"/>
          <w:szCs w:val="24"/>
          <w:lang w:val="en-US" w:eastAsia="zh-CN"/>
        </w:rPr>
        <w:t>项目</w:t>
      </w:r>
      <w:r>
        <w:rPr>
          <w:rFonts w:hint="eastAsia" w:cs="宋体"/>
          <w:sz w:val="24"/>
          <w:szCs w:val="24"/>
        </w:rPr>
        <w:t>环境影响报告</w:t>
      </w:r>
      <w:r>
        <w:rPr>
          <w:rFonts w:hint="eastAsia" w:cs="宋体"/>
          <w:sz w:val="24"/>
          <w:szCs w:val="24"/>
          <w:lang w:eastAsia="zh-CN"/>
        </w:rPr>
        <w:t>表</w:t>
      </w:r>
      <w:r>
        <w:rPr>
          <w:rFonts w:hint="eastAsia" w:cs="宋体"/>
          <w:sz w:val="24"/>
          <w:szCs w:val="24"/>
        </w:rPr>
        <w:t>》，现将项目环评相关情况予以公示</w:t>
      </w:r>
      <w:r>
        <w:rPr>
          <w:sz w:val="24"/>
          <w:szCs w:val="24"/>
        </w:rPr>
        <w:t>5</w:t>
      </w:r>
      <w:r>
        <w:rPr>
          <w:rFonts w:hint="eastAsia" w:cs="宋体"/>
          <w:sz w:val="24"/>
          <w:szCs w:val="24"/>
        </w:rPr>
        <w:t>个工作日，如有意见，请在公示期内向我局来信来电进行反映。</w:t>
      </w:r>
    </w:p>
    <w:p>
      <w:pPr>
        <w:widowControl w:val="0"/>
        <w:spacing w:line="460" w:lineRule="exact"/>
        <w:jc w:val="left"/>
        <w:rPr>
          <w:sz w:val="24"/>
          <w:szCs w:val="24"/>
        </w:rPr>
      </w:pPr>
      <w:r>
        <w:rPr>
          <w:rFonts w:hint="eastAsia" w:cs="宋体"/>
          <w:sz w:val="24"/>
          <w:szCs w:val="24"/>
        </w:rPr>
        <w:t>联系地址：邵东县兴和大道</w:t>
      </w:r>
      <w:r>
        <w:rPr>
          <w:sz w:val="24"/>
          <w:szCs w:val="24"/>
        </w:rPr>
        <w:t>419</w:t>
      </w:r>
      <w:r>
        <w:rPr>
          <w:rFonts w:hint="eastAsia" w:cs="宋体"/>
          <w:sz w:val="24"/>
          <w:szCs w:val="24"/>
        </w:rPr>
        <w:t>号</w:t>
      </w:r>
      <w:r>
        <w:rPr>
          <w:sz w:val="24"/>
          <w:szCs w:val="24"/>
        </w:rPr>
        <w:t xml:space="preserve">   </w:t>
      </w:r>
      <w:r>
        <w:rPr>
          <w:rFonts w:hint="eastAsia"/>
          <w:sz w:val="24"/>
          <w:szCs w:val="24"/>
          <w:lang w:val="en-US" w:eastAsia="zh-CN"/>
        </w:rPr>
        <w:t xml:space="preserve">           </w:t>
      </w:r>
      <w:r>
        <w:rPr>
          <w:rFonts w:hint="eastAsia" w:cs="宋体"/>
          <w:sz w:val="24"/>
          <w:szCs w:val="24"/>
        </w:rPr>
        <w:t>邮编</w:t>
      </w:r>
      <w:r>
        <w:rPr>
          <w:rFonts w:hint="eastAsia" w:cs="宋体"/>
          <w:sz w:val="24"/>
          <w:szCs w:val="24"/>
          <w:lang w:eastAsia="zh-CN"/>
        </w:rPr>
        <w:t>：</w:t>
      </w:r>
      <w:r>
        <w:rPr>
          <w:sz w:val="24"/>
          <w:szCs w:val="24"/>
        </w:rPr>
        <w:t>422800</w:t>
      </w:r>
    </w:p>
    <w:p>
      <w:pPr>
        <w:widowControl w:val="0"/>
        <w:spacing w:line="460" w:lineRule="exact"/>
        <w:jc w:val="left"/>
        <w:rPr>
          <w:sz w:val="24"/>
          <w:szCs w:val="24"/>
        </w:rPr>
      </w:pPr>
      <w:r>
        <w:rPr>
          <w:rFonts w:hint="eastAsia" w:cs="宋体"/>
          <w:sz w:val="24"/>
          <w:szCs w:val="24"/>
        </w:rPr>
        <w:t>联系电话：</w:t>
      </w:r>
      <w:r>
        <w:rPr>
          <w:sz w:val="24"/>
          <w:szCs w:val="24"/>
        </w:rPr>
        <w:t>0739-2720426</w:t>
      </w:r>
    </w:p>
    <w:p>
      <w:pPr>
        <w:widowControl w:val="0"/>
        <w:spacing w:line="460" w:lineRule="exact"/>
        <w:ind w:firstLine="480" w:firstLineChars="200"/>
        <w:jc w:val="left"/>
        <w:rPr>
          <w:sz w:val="24"/>
          <w:szCs w:val="24"/>
        </w:rPr>
      </w:pPr>
      <w:r>
        <w:rPr>
          <w:rFonts w:hint="eastAsia" w:cs="宋体"/>
          <w:sz w:val="24"/>
          <w:szCs w:val="24"/>
        </w:rPr>
        <w:t>听证告知，依据《中华人民共和国行政许可法》</w:t>
      </w:r>
      <w:r>
        <w:rPr>
          <w:rFonts w:hint="eastAsia" w:cs="宋体"/>
          <w:sz w:val="24"/>
          <w:szCs w:val="24"/>
          <w:lang w:eastAsia="zh-CN"/>
        </w:rPr>
        <w:t>，</w:t>
      </w:r>
      <w:r>
        <w:rPr>
          <w:rFonts w:hint="eastAsia" w:cs="宋体"/>
          <w:sz w:val="24"/>
          <w:szCs w:val="24"/>
        </w:rPr>
        <w:t>自公示之日起五个工作日内</w:t>
      </w:r>
      <w:r>
        <w:rPr>
          <w:rFonts w:hint="eastAsia" w:cs="宋体"/>
          <w:sz w:val="24"/>
          <w:szCs w:val="24"/>
          <w:lang w:eastAsia="zh-CN"/>
        </w:rPr>
        <w:t>，</w:t>
      </w:r>
      <w:r>
        <w:rPr>
          <w:rFonts w:hint="eastAsia" w:cs="宋体"/>
          <w:sz w:val="24"/>
          <w:szCs w:val="24"/>
        </w:rPr>
        <w:t>申请人</w:t>
      </w:r>
      <w:r>
        <w:rPr>
          <w:rFonts w:hint="eastAsia" w:cs="宋体"/>
          <w:sz w:val="24"/>
          <w:szCs w:val="24"/>
          <w:lang w:eastAsia="zh-CN"/>
        </w:rPr>
        <w:t>、</w:t>
      </w:r>
      <w:r>
        <w:rPr>
          <w:rFonts w:hint="eastAsia" w:cs="宋体"/>
          <w:sz w:val="24"/>
          <w:szCs w:val="24"/>
        </w:rPr>
        <w:t>利害关系人可对以下拟作出的建设项目环境影响评价文件批复决定提出听证申请。</w:t>
      </w:r>
    </w:p>
    <w:p>
      <w:pPr>
        <w:widowControl w:val="0"/>
        <w:spacing w:line="460" w:lineRule="exact"/>
        <w:ind w:left="280" w:hanging="240" w:hangingChars="100"/>
        <w:jc w:val="left"/>
        <w:rPr>
          <w:rFonts w:hint="default" w:cs="宋体"/>
          <w:sz w:val="24"/>
          <w:szCs w:val="24"/>
          <w:lang w:val="en-US" w:eastAsia="zh-CN"/>
        </w:rPr>
      </w:pPr>
      <w:r>
        <w:rPr>
          <w:rFonts w:hint="eastAsia" w:cs="宋体"/>
          <w:sz w:val="24"/>
          <w:szCs w:val="24"/>
          <w:lang w:eastAsia="zh-CN"/>
        </w:rPr>
        <w:t>项目名称：</w:t>
      </w:r>
      <w:r>
        <w:rPr>
          <w:rFonts w:hint="eastAsia" w:cs="宋体"/>
          <w:sz w:val="24"/>
          <w:szCs w:val="24"/>
          <w:lang w:val="en-US" w:eastAsia="zh-CN"/>
        </w:rPr>
        <w:t xml:space="preserve"> </w:t>
      </w:r>
      <w:r>
        <w:rPr>
          <w:rFonts w:hint="eastAsia" w:ascii="宋体" w:hAnsi="宋体" w:eastAsia="宋体" w:cs="宋体"/>
          <w:color w:val="auto"/>
          <w:kern w:val="0"/>
          <w:sz w:val="24"/>
          <w:szCs w:val="24"/>
          <w:lang w:eastAsia="zh-CN"/>
        </w:rPr>
        <w:t>年产8万个书包壳、6万套拉杆箱壳</w:t>
      </w:r>
    </w:p>
    <w:p>
      <w:pPr>
        <w:widowControl w:val="0"/>
        <w:spacing w:line="460" w:lineRule="exact"/>
        <w:jc w:val="left"/>
        <w:rPr>
          <w:rFonts w:hint="eastAsia" w:ascii="宋体" w:hAnsi="宋体" w:eastAsia="宋体" w:cs="宋体"/>
          <w:b/>
          <w:sz w:val="24"/>
          <w:szCs w:val="24"/>
          <w:lang w:eastAsia="zh-CN"/>
        </w:rPr>
      </w:pPr>
      <w:r>
        <w:rPr>
          <w:rFonts w:hint="eastAsia" w:cs="宋体"/>
          <w:sz w:val="24"/>
          <w:szCs w:val="24"/>
          <w:lang w:val="en-US" w:eastAsia="zh-CN"/>
        </w:rPr>
        <w:t xml:space="preserve"> </w:t>
      </w:r>
      <w:r>
        <w:rPr>
          <w:rFonts w:hint="eastAsia" w:cs="宋体"/>
          <w:sz w:val="24"/>
          <w:szCs w:val="24"/>
        </w:rPr>
        <w:t>建设地点</w:t>
      </w:r>
      <w:r>
        <w:rPr>
          <w:rFonts w:hint="eastAsia" w:cs="宋体"/>
          <w:sz w:val="24"/>
          <w:szCs w:val="24"/>
          <w:lang w:val="en-US" w:eastAsia="zh-CN"/>
        </w:rPr>
        <w:t>:    邵东县</w:t>
      </w:r>
      <w:r>
        <w:rPr>
          <w:rFonts w:hint="eastAsia" w:ascii="宋体" w:hAnsi="宋体" w:eastAsia="宋体" w:cs="宋体"/>
          <w:b w:val="0"/>
          <w:bCs/>
          <w:color w:val="auto"/>
          <w:kern w:val="0"/>
          <w:sz w:val="24"/>
          <w:szCs w:val="24"/>
          <w:lang w:eastAsia="zh-CN"/>
        </w:rPr>
        <w:t>包装印刷、塑料制品、新材料工业园</w:t>
      </w:r>
      <w:r>
        <w:rPr>
          <w:rFonts w:hint="eastAsia" w:cs="宋体"/>
          <w:sz w:val="24"/>
          <w:szCs w:val="24"/>
          <w:lang w:val="en-US" w:eastAsia="zh-CN"/>
        </w:rPr>
        <w:t xml:space="preserve">                                                                             </w:t>
      </w:r>
      <w:r>
        <w:rPr>
          <w:rFonts w:hint="eastAsia"/>
          <w:sz w:val="24"/>
          <w:szCs w:val="24"/>
          <w:lang w:eastAsia="zh-CN"/>
        </w:rPr>
        <w:t>建设单位：</w:t>
      </w:r>
      <w:r>
        <w:rPr>
          <w:rFonts w:hint="eastAsia" w:ascii="Times New Roman" w:hAnsi="Times New Roman" w:cs="Times New Roman"/>
          <w:b w:val="0"/>
          <w:bCs w:val="0"/>
          <w:sz w:val="24"/>
          <w:szCs w:val="24"/>
          <w:lang w:val="en-US" w:eastAsia="zh-CN"/>
        </w:rPr>
        <w:t xml:space="preserve"> </w:t>
      </w:r>
      <w:r>
        <w:rPr>
          <w:rFonts w:hint="eastAsia" w:ascii="宋体" w:hAnsi="宋体"/>
          <w:sz w:val="24"/>
          <w:szCs w:val="24"/>
          <w:lang w:val="en-US" w:eastAsia="zh-CN"/>
        </w:rPr>
        <w:t xml:space="preserve"> </w:t>
      </w:r>
      <w:r>
        <w:rPr>
          <w:rFonts w:hint="eastAsia" w:cs="宋体"/>
          <w:sz w:val="24"/>
          <w:szCs w:val="24"/>
          <w:lang w:eastAsia="zh-CN"/>
        </w:rPr>
        <w:t>邵东</w:t>
      </w:r>
      <w:r>
        <w:rPr>
          <w:rFonts w:hint="eastAsia" w:ascii="宋体" w:hAnsi="宋体" w:eastAsia="宋体" w:cs="宋体"/>
          <w:b w:val="0"/>
          <w:bCs/>
          <w:color w:val="auto"/>
          <w:sz w:val="24"/>
          <w:szCs w:val="24"/>
          <w:lang w:eastAsia="zh-CN"/>
        </w:rPr>
        <w:t>市军蜜背包</w:t>
      </w:r>
      <w:r>
        <w:rPr>
          <w:rFonts w:hint="eastAsia" w:ascii="宋体" w:hAnsi="宋体" w:eastAsia="宋体" w:cs="宋体"/>
          <w:sz w:val="24"/>
          <w:szCs w:val="24"/>
          <w:lang w:eastAsia="zh-CN"/>
        </w:rPr>
        <w:t>有限公司</w:t>
      </w:r>
      <w:r>
        <w:rPr>
          <w:rFonts w:hint="eastAsia" w:cs="宋体"/>
          <w:sz w:val="24"/>
          <w:szCs w:val="24"/>
          <w:lang w:val="en-US" w:eastAsia="zh-CN"/>
        </w:rPr>
        <w:t xml:space="preserve">                                                      </w:t>
      </w:r>
      <w:r>
        <w:rPr>
          <w:rFonts w:hint="eastAsia" w:ascii="宋体" w:hAnsi="宋体" w:cs="宋体"/>
          <w:b/>
          <w:sz w:val="24"/>
          <w:szCs w:val="24"/>
          <w:lang w:eastAsia="zh-CN"/>
        </w:rPr>
        <w:t>环境影响评价机构：</w:t>
      </w:r>
      <w:r>
        <w:rPr>
          <w:rFonts w:hint="eastAsia"/>
          <w:sz w:val="24"/>
          <w:szCs w:val="24"/>
          <w:lang w:eastAsia="zh-CN"/>
        </w:rPr>
        <w:t>湖南振鑫环保科技</w:t>
      </w:r>
      <w:r>
        <w:rPr>
          <w:rFonts w:hint="eastAsia" w:ascii="宋体" w:hAnsi="宋体"/>
          <w:sz w:val="24"/>
          <w:szCs w:val="24"/>
        </w:rPr>
        <w:t>有限公司</w:t>
      </w:r>
    </w:p>
    <w:p>
      <w:pPr>
        <w:spacing w:line="520" w:lineRule="exact"/>
        <w:ind w:firstLine="482" w:firstLineChars="200"/>
        <w:rPr>
          <w:rFonts w:hint="default" w:eastAsia="宋体"/>
          <w:sz w:val="24"/>
          <w:szCs w:val="24"/>
          <w:lang w:val="en-US" w:eastAsia="zh-CN"/>
        </w:rPr>
      </w:pPr>
      <w:r>
        <w:rPr>
          <w:rFonts w:hint="eastAsia" w:ascii="宋体" w:hAnsi="宋体" w:cs="宋体"/>
          <w:b/>
          <w:sz w:val="24"/>
          <w:szCs w:val="24"/>
          <w:lang w:eastAsia="zh-CN"/>
        </w:rPr>
        <w:t>项目概况：项目总投资</w:t>
      </w:r>
      <w:r>
        <w:rPr>
          <w:rFonts w:hint="eastAsia" w:ascii="宋体" w:hAnsi="宋体" w:cs="宋体"/>
          <w:b/>
          <w:sz w:val="24"/>
          <w:szCs w:val="24"/>
          <w:lang w:val="en-US" w:eastAsia="zh-CN"/>
        </w:rPr>
        <w:t>200</w:t>
      </w:r>
      <w:r>
        <w:rPr>
          <w:rFonts w:hint="eastAsia" w:ascii="宋体" w:hAnsi="宋体" w:cs="宋体"/>
          <w:b/>
          <w:sz w:val="21"/>
          <w:szCs w:val="21"/>
          <w:lang w:val="en-US" w:eastAsia="zh-CN"/>
        </w:rPr>
        <w:t>万</w:t>
      </w:r>
      <w:r>
        <w:rPr>
          <w:rFonts w:hint="eastAsia" w:ascii="宋体" w:hAnsi="宋体" w:cs="宋体"/>
          <w:b/>
          <w:sz w:val="24"/>
          <w:szCs w:val="24"/>
          <w:lang w:val="en-US" w:eastAsia="zh-CN"/>
        </w:rPr>
        <w:t>元，</w:t>
      </w:r>
      <w:r>
        <w:rPr>
          <w:rFonts w:hint="eastAsia"/>
          <w:sz w:val="24"/>
          <w:szCs w:val="24"/>
        </w:rPr>
        <w:t>占地面积</w:t>
      </w:r>
      <w:r>
        <w:rPr>
          <w:rFonts w:hint="eastAsia"/>
          <w:sz w:val="24"/>
          <w:szCs w:val="24"/>
          <w:lang w:val="en-US" w:eastAsia="zh-CN"/>
        </w:rPr>
        <w:t>1500平方米</w:t>
      </w:r>
      <w:r>
        <w:rPr>
          <w:rFonts w:hint="eastAsia" w:ascii="宋体" w:hAnsi="宋体" w:cs="宋体"/>
          <w:b/>
          <w:sz w:val="24"/>
          <w:szCs w:val="24"/>
          <w:lang w:val="en-US" w:eastAsia="zh-CN"/>
        </w:rPr>
        <w:t>。</w:t>
      </w:r>
      <w:r>
        <w:rPr>
          <w:rFonts w:hint="eastAsia"/>
          <w:sz w:val="24"/>
          <w:szCs w:val="24"/>
        </w:rPr>
        <w:t>主要</w:t>
      </w:r>
      <w:r>
        <w:rPr>
          <w:rFonts w:hint="eastAsia"/>
          <w:sz w:val="24"/>
          <w:szCs w:val="24"/>
          <w:lang w:eastAsia="zh-CN"/>
        </w:rPr>
        <w:t>建设</w:t>
      </w:r>
      <w:r>
        <w:rPr>
          <w:rFonts w:hint="eastAsia"/>
          <w:sz w:val="24"/>
          <w:szCs w:val="24"/>
        </w:rPr>
        <w:t>内容</w:t>
      </w:r>
      <w:r>
        <w:rPr>
          <w:rFonts w:hint="eastAsia"/>
          <w:sz w:val="24"/>
          <w:szCs w:val="24"/>
          <w:lang w:eastAsia="zh-CN"/>
        </w:rPr>
        <w:t>有生产车间、原料仓库、成品仓库、办公楼</w:t>
      </w:r>
      <w:r>
        <w:rPr>
          <w:rFonts w:hint="eastAsia"/>
          <w:sz w:val="24"/>
          <w:szCs w:val="24"/>
        </w:rPr>
        <w:t>等</w:t>
      </w:r>
      <w:r>
        <w:rPr>
          <w:rFonts w:hint="eastAsia"/>
          <w:sz w:val="24"/>
          <w:szCs w:val="24"/>
          <w:lang w:eastAsia="zh-CN"/>
        </w:rPr>
        <w:t>主体工程，</w:t>
      </w:r>
      <w:r>
        <w:rPr>
          <w:rFonts w:hint="eastAsia" w:ascii="宋体" w:hAnsi="宋体" w:eastAsia="宋体" w:cs="宋体"/>
          <w:sz w:val="24"/>
          <w:szCs w:val="24"/>
        </w:rPr>
        <w:t>同时配套</w:t>
      </w:r>
      <w:r>
        <w:rPr>
          <w:rFonts w:hint="eastAsia" w:ascii="宋体" w:hAnsi="宋体" w:eastAsia="宋体" w:cs="宋体"/>
          <w:sz w:val="24"/>
          <w:szCs w:val="24"/>
          <w:lang w:eastAsia="zh-CN"/>
        </w:rPr>
        <w:t>建设</w:t>
      </w:r>
      <w:r>
        <w:rPr>
          <w:rFonts w:hint="eastAsia" w:ascii="宋体" w:hAnsi="宋体" w:eastAsia="宋体" w:cs="宋体"/>
          <w:sz w:val="24"/>
          <w:szCs w:val="24"/>
        </w:rPr>
        <w:t>隔油池</w:t>
      </w:r>
      <w:r>
        <w:rPr>
          <w:rFonts w:hint="eastAsia" w:ascii="宋体" w:hAnsi="宋体" w:eastAsia="宋体" w:cs="宋体"/>
          <w:sz w:val="24"/>
          <w:szCs w:val="24"/>
          <w:lang w:eastAsia="zh-CN"/>
        </w:rPr>
        <w:t>、化粪池</w:t>
      </w:r>
      <w:r>
        <w:rPr>
          <w:rFonts w:hint="eastAsia" w:ascii="宋体" w:hAnsi="宋体" w:eastAsia="宋体" w:cs="宋体"/>
          <w:sz w:val="24"/>
          <w:szCs w:val="24"/>
        </w:rPr>
        <w:t>等环保设施</w:t>
      </w:r>
      <w:r>
        <w:rPr>
          <w:rFonts w:hint="eastAsia" w:ascii="宋体" w:hAnsi="宋体" w:eastAsia="宋体" w:cs="宋体"/>
          <w:sz w:val="24"/>
          <w:szCs w:val="24"/>
          <w:lang w:eastAsia="zh-CN"/>
        </w:rPr>
        <w:t>。</w:t>
      </w:r>
    </w:p>
    <w:p>
      <w:pPr>
        <w:spacing w:line="520" w:lineRule="exact"/>
        <w:ind w:firstLine="480" w:firstLineChars="200"/>
        <w:rPr>
          <w:rFonts w:hint="eastAsia" w:cs="宋体"/>
          <w:sz w:val="24"/>
          <w:szCs w:val="24"/>
          <w:lang w:eastAsia="zh-CN"/>
        </w:rPr>
      </w:pPr>
      <w:r>
        <w:rPr>
          <w:rFonts w:hint="eastAsia" w:cs="宋体"/>
          <w:sz w:val="24"/>
          <w:szCs w:val="24"/>
        </w:rPr>
        <w:t>主要环境影响及预防或者减轻不良环境影响的对策</w:t>
      </w:r>
      <w:r>
        <w:rPr>
          <w:rFonts w:hint="eastAsia" w:cs="宋体"/>
          <w:sz w:val="24"/>
          <w:szCs w:val="24"/>
          <w:lang w:eastAsia="zh-CN"/>
        </w:rPr>
        <w:t>措施：</w:t>
      </w:r>
    </w:p>
    <w:p>
      <w:pPr>
        <w:spacing w:line="560" w:lineRule="exact"/>
        <w:rPr>
          <w:rFonts w:hint="eastAsia" w:ascii="Times New Roman" w:hAnsi="Times New Roman" w:eastAsia="宋体" w:cs="Times New Roman"/>
          <w:color w:val="auto"/>
          <w:sz w:val="24"/>
          <w:szCs w:val="24"/>
          <w:highlight w:val="none"/>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强化</w:t>
      </w:r>
      <w:r>
        <w:rPr>
          <w:rFonts w:hint="eastAsia"/>
          <w:sz w:val="24"/>
          <w:szCs w:val="24"/>
          <w:lang w:val="en-US" w:eastAsia="zh-CN"/>
        </w:rPr>
        <w:t>废气污染防治。</w:t>
      </w:r>
      <w:r>
        <w:rPr>
          <w:rFonts w:hint="eastAsia" w:ascii="宋体" w:hAnsi="宋体" w:eastAsia="宋体" w:cs="宋体"/>
          <w:bCs/>
          <w:color w:val="auto"/>
          <w:sz w:val="24"/>
          <w:szCs w:val="24"/>
        </w:rPr>
        <w:t>抽板、吸塑成型、真空排气过程中产生的非甲烷总烃经集气罩</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活性炭吸附</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UV光催化氧化处理后</w:t>
      </w:r>
      <w:r>
        <w:rPr>
          <w:rFonts w:hint="eastAsia" w:ascii="宋体" w:hAnsi="宋体" w:eastAsia="宋体" w:cs="宋体"/>
          <w:bCs/>
          <w:color w:val="auto"/>
          <w:sz w:val="24"/>
          <w:szCs w:val="24"/>
          <w:lang w:eastAsia="zh-CN"/>
        </w:rPr>
        <w:t>通过</w:t>
      </w:r>
      <w:r>
        <w:rPr>
          <w:rFonts w:hint="eastAsia" w:ascii="宋体" w:hAnsi="宋体" w:eastAsia="宋体" w:cs="宋体"/>
          <w:bCs/>
          <w:color w:val="auto"/>
          <w:sz w:val="24"/>
          <w:szCs w:val="24"/>
        </w:rPr>
        <w:t>高</w:t>
      </w:r>
      <w:r>
        <w:rPr>
          <w:rFonts w:hint="eastAsia" w:ascii="宋体" w:hAnsi="宋体" w:eastAsia="宋体" w:cs="宋体"/>
          <w:bCs/>
          <w:color w:val="auto"/>
          <w:sz w:val="24"/>
          <w:szCs w:val="24"/>
          <w:lang w:eastAsia="zh-CN"/>
        </w:rPr>
        <w:t>于</w:t>
      </w:r>
      <w:r>
        <w:rPr>
          <w:rFonts w:hint="eastAsia" w:ascii="宋体" w:hAnsi="宋体" w:eastAsia="宋体" w:cs="宋体"/>
          <w:bCs/>
          <w:color w:val="auto"/>
          <w:sz w:val="24"/>
          <w:szCs w:val="24"/>
        </w:rPr>
        <w:t>20m 的排气筒排放</w:t>
      </w:r>
      <w:r>
        <w:rPr>
          <w:rFonts w:hint="eastAsia" w:ascii="宋体" w:hAnsi="宋体" w:eastAsia="宋体" w:cs="宋体"/>
          <w:bCs/>
          <w:color w:val="auto"/>
          <w:sz w:val="24"/>
          <w:szCs w:val="24"/>
          <w:lang w:eastAsia="zh-CN"/>
        </w:rPr>
        <w:t>，外排废气须</w:t>
      </w:r>
      <w:r>
        <w:rPr>
          <w:rFonts w:hint="eastAsia" w:ascii="宋体" w:hAnsi="宋体" w:eastAsia="宋体" w:cs="宋体"/>
          <w:bCs/>
          <w:color w:val="auto"/>
          <w:sz w:val="24"/>
          <w:szCs w:val="24"/>
        </w:rPr>
        <w:t>达到《合成树脂工业污染物排放标准》（GB31572-2015）表4标准有组织排放监控浓度限值要求</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非甲烷总烃无组织排放</w:t>
      </w:r>
      <w:r>
        <w:rPr>
          <w:rFonts w:hint="eastAsia" w:ascii="宋体" w:hAnsi="宋体" w:eastAsia="宋体" w:cs="宋体"/>
          <w:bCs/>
          <w:color w:val="auto"/>
          <w:sz w:val="24"/>
          <w:szCs w:val="24"/>
          <w:lang w:eastAsia="zh-CN"/>
        </w:rPr>
        <w:t>须满足</w:t>
      </w:r>
      <w:r>
        <w:rPr>
          <w:rFonts w:hint="eastAsia" w:ascii="宋体" w:hAnsi="宋体" w:eastAsia="宋体" w:cs="宋体"/>
          <w:bCs/>
          <w:color w:val="auto"/>
          <w:sz w:val="24"/>
          <w:szCs w:val="24"/>
        </w:rPr>
        <w:t>《合成树脂工业污染物排放标准》（GB31572-2015）表9标准</w:t>
      </w:r>
      <w:r>
        <w:rPr>
          <w:rFonts w:hint="eastAsia" w:ascii="宋体" w:hAnsi="宋体" w:eastAsia="宋体" w:cs="宋体"/>
          <w:bCs/>
          <w:color w:val="auto"/>
          <w:sz w:val="24"/>
          <w:szCs w:val="24"/>
          <w:lang w:eastAsia="zh-CN"/>
        </w:rPr>
        <w:t>。</w:t>
      </w:r>
      <w:r>
        <w:rPr>
          <w:rFonts w:hint="eastAsia"/>
          <w:sz w:val="24"/>
          <w:szCs w:val="24"/>
        </w:rPr>
        <w:t xml:space="preserve">                                                          </w:t>
      </w:r>
      <w:r>
        <w:rPr>
          <w:rFonts w:hint="eastAsia"/>
          <w:sz w:val="28"/>
          <w:szCs w:val="28"/>
        </w:rPr>
        <w:t xml:space="preserve">     </w:t>
      </w:r>
      <w:r>
        <w:rPr>
          <w:rFonts w:hint="eastAsia"/>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outlineLvl w:val="9"/>
        <w:rPr>
          <w:rFonts w:hint="eastAsia" w:ascii="宋体" w:hAnsi="宋体"/>
          <w:sz w:val="24"/>
          <w:szCs w:val="24"/>
          <w:lang w:eastAsia="zh-CN"/>
        </w:rPr>
      </w:pPr>
      <w:r>
        <w:rPr>
          <w:rFonts w:hint="eastAsia" w:ascii="宋体" w:hAnsi="宋体"/>
          <w:sz w:val="24"/>
          <w:szCs w:val="24"/>
          <w:lang w:val="en-US" w:eastAsia="zh-CN"/>
        </w:rPr>
        <w:t>2、控制废水</w:t>
      </w:r>
      <w:r>
        <w:rPr>
          <w:rFonts w:hint="eastAsia" w:ascii="宋体" w:hAnsi="宋体"/>
          <w:sz w:val="24"/>
          <w:szCs w:val="24"/>
        </w:rPr>
        <w:t>污染</w:t>
      </w:r>
      <w:r>
        <w:rPr>
          <w:rFonts w:hint="eastAsia" w:ascii="宋体" w:hAnsi="宋体"/>
          <w:sz w:val="24"/>
          <w:szCs w:val="24"/>
          <w:lang w:eastAsia="zh-CN"/>
        </w:rPr>
        <w:t>物排放</w:t>
      </w:r>
      <w:r>
        <w:rPr>
          <w:rFonts w:hint="eastAsia" w:ascii="宋体" w:hAnsi="宋体"/>
          <w:sz w:val="24"/>
          <w:szCs w:val="24"/>
          <w:lang w:val="en-US" w:eastAsia="zh-CN"/>
        </w:rPr>
        <w:t>。</w:t>
      </w:r>
      <w:r>
        <w:rPr>
          <w:rFonts w:hint="eastAsia"/>
          <w:sz w:val="24"/>
          <w:szCs w:val="24"/>
        </w:rPr>
        <w:t>营运期的生活污水经三级化粪池预处理后排入邵东县包装印刷</w:t>
      </w:r>
      <w:r>
        <w:rPr>
          <w:rFonts w:hint="eastAsia"/>
          <w:sz w:val="24"/>
          <w:szCs w:val="24"/>
          <w:lang w:eastAsia="zh-CN"/>
        </w:rPr>
        <w:t>、塑料制品、新材料工</w:t>
      </w:r>
      <w:r>
        <w:rPr>
          <w:rFonts w:hint="eastAsia"/>
          <w:sz w:val="24"/>
          <w:szCs w:val="24"/>
        </w:rPr>
        <w:t>业园污水管网，再通过</w:t>
      </w:r>
      <w:r>
        <w:rPr>
          <w:rFonts w:hint="eastAsia"/>
          <w:sz w:val="24"/>
          <w:szCs w:val="24"/>
          <w:lang w:eastAsia="zh-CN"/>
        </w:rPr>
        <w:t>印刷</w:t>
      </w:r>
      <w:r>
        <w:rPr>
          <w:rFonts w:hint="eastAsia"/>
          <w:sz w:val="24"/>
          <w:szCs w:val="24"/>
        </w:rPr>
        <w:t>工业园至宋家塘管理区福星路的专用管道进入县城污水管网，最后进入邵东县城市生活污水处理厂进一步处理后排入邵水</w:t>
      </w:r>
      <w:r>
        <w:rPr>
          <w:rFonts w:hint="eastAsia" w:ascii="宋体" w:hAnsi="宋体" w:eastAsia="宋体" w:cs="宋体"/>
          <w:color w:val="auto"/>
          <w:sz w:val="24"/>
          <w:szCs w:val="24"/>
          <w:u w:val="none"/>
          <w:lang w:eastAsia="zh-CN"/>
        </w:rPr>
        <w:t>。</w:t>
      </w:r>
    </w:p>
    <w:p>
      <w:pPr>
        <w:spacing w:line="560" w:lineRule="exact"/>
        <w:jc w:val="left"/>
        <w:rPr>
          <w:rFonts w:hint="eastAsia" w:ascii="宋体" w:hAnsi="宋体" w:eastAsia="宋体" w:cs="宋体"/>
          <w:sz w:val="24"/>
          <w:szCs w:val="24"/>
        </w:rPr>
      </w:pPr>
      <w:r>
        <w:rPr>
          <w:rFonts w:hint="eastAsia"/>
          <w:sz w:val="24"/>
          <w:szCs w:val="24"/>
        </w:rPr>
        <w:t xml:space="preserve">                                   </w:t>
      </w:r>
    </w:p>
    <w:p>
      <w:pPr>
        <w:spacing w:line="560" w:lineRule="exact"/>
        <w:rPr>
          <w:rFonts w:hint="eastAsia" w:ascii="宋体" w:hAnsi="宋体" w:eastAsia="宋体" w:cs="宋体"/>
          <w:sz w:val="24"/>
          <w:szCs w:val="24"/>
          <w:lang w:eastAsia="zh-CN"/>
        </w:rPr>
      </w:pPr>
      <w:bookmarkStart w:id="0" w:name="_GoBack"/>
      <w:bookmarkEnd w:id="0"/>
      <w:r>
        <w:rPr>
          <w:rFonts w:hint="eastAsia"/>
          <w:sz w:val="24"/>
          <w:szCs w:val="24"/>
        </w:rPr>
        <w:t xml:space="preserve"> </w:t>
      </w:r>
      <w:r>
        <w:rPr>
          <w:rFonts w:hint="eastAsia"/>
          <w:sz w:val="24"/>
          <w:szCs w:val="24"/>
          <w:lang w:val="en-US" w:eastAsia="zh-CN"/>
        </w:rPr>
        <w:t>3、</w:t>
      </w:r>
      <w:r>
        <w:rPr>
          <w:rFonts w:hint="eastAsia" w:ascii="宋体" w:hAnsi="宋体"/>
          <w:sz w:val="24"/>
          <w:szCs w:val="24"/>
        </w:rPr>
        <w:t>噪声污染防治工作。</w:t>
      </w:r>
      <w:r>
        <w:rPr>
          <w:rFonts w:hint="eastAsia" w:ascii="宋体" w:hAnsi="宋体" w:eastAsia="宋体" w:cs="宋体"/>
          <w:sz w:val="24"/>
          <w:szCs w:val="24"/>
        </w:rPr>
        <w:t>选用低噪声设备，合理布置噪声源位置，对各类设备采取相应减振、消声、隔声措施，确保厂界噪声符合《工业企业厂界环境噪声排放标准》（GB12348-2008）中</w:t>
      </w:r>
      <w:r>
        <w:rPr>
          <w:rFonts w:hint="eastAsia" w:ascii="宋体" w:hAnsi="宋体" w:cs="宋体"/>
          <w:sz w:val="24"/>
          <w:szCs w:val="24"/>
          <w:lang w:val="en-US" w:eastAsia="zh-CN"/>
        </w:rPr>
        <w:t>3</w:t>
      </w:r>
      <w:r>
        <w:rPr>
          <w:rFonts w:hint="eastAsia" w:ascii="宋体" w:hAnsi="宋体" w:eastAsia="宋体" w:cs="宋体"/>
          <w:sz w:val="24"/>
          <w:szCs w:val="24"/>
        </w:rPr>
        <w:t>类标准</w:t>
      </w:r>
      <w:r>
        <w:rPr>
          <w:rFonts w:hint="eastAsia" w:ascii="宋体" w:hAnsi="宋体" w:eastAsia="宋体" w:cs="宋体"/>
          <w:sz w:val="24"/>
          <w:szCs w:val="24"/>
          <w:lang w:eastAsia="zh-CN"/>
        </w:rPr>
        <w:t>。</w:t>
      </w:r>
    </w:p>
    <w:p>
      <w:pPr>
        <w:spacing w:line="520" w:lineRule="exact"/>
        <w:jc w:val="left"/>
        <w:rPr>
          <w:rFonts w:hint="eastAsia"/>
          <w:sz w:val="24"/>
          <w:szCs w:val="24"/>
          <w:lang w:eastAsia="zh-CN"/>
        </w:rPr>
      </w:pPr>
      <w:r>
        <w:rPr>
          <w:rFonts w:hint="eastAsia"/>
          <w:sz w:val="24"/>
          <w:szCs w:val="24"/>
          <w:lang w:val="en-US" w:eastAsia="zh-CN"/>
        </w:rPr>
        <w:t>4、</w:t>
      </w:r>
      <w:r>
        <w:rPr>
          <w:rFonts w:hint="eastAsia"/>
          <w:sz w:val="24"/>
          <w:szCs w:val="24"/>
        </w:rPr>
        <w:t xml:space="preserve">固体废物防治工作。按照“减量化、资源化、无害化”原则妥善处置固体废物。 </w:t>
      </w:r>
      <w:r>
        <w:rPr>
          <w:rFonts w:hint="eastAsia" w:ascii="宋体" w:hAnsi="宋体" w:eastAsia="宋体" w:cs="宋体"/>
          <w:color w:val="auto"/>
          <w:sz w:val="24"/>
          <w:szCs w:val="24"/>
        </w:rPr>
        <w:t>生产过程中产生的废边角料及不合格产品收集</w:t>
      </w:r>
      <w:r>
        <w:rPr>
          <w:rFonts w:hint="eastAsia" w:ascii="宋体" w:hAnsi="宋体" w:eastAsia="宋体" w:cs="宋体"/>
          <w:color w:val="auto"/>
          <w:sz w:val="24"/>
          <w:szCs w:val="24"/>
          <w:lang w:eastAsia="zh-CN"/>
        </w:rPr>
        <w:t>定期</w:t>
      </w:r>
      <w:r>
        <w:rPr>
          <w:rFonts w:hint="eastAsia" w:ascii="宋体" w:hAnsi="宋体" w:eastAsia="宋体" w:cs="宋体"/>
          <w:color w:val="auto"/>
          <w:sz w:val="24"/>
          <w:szCs w:val="24"/>
        </w:rPr>
        <w:t>外售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生活垃圾集中收集后委托环卫部门</w:t>
      </w:r>
      <w:r>
        <w:rPr>
          <w:rFonts w:hint="eastAsia" w:ascii="宋体" w:hAnsi="宋体" w:eastAsia="宋体" w:cs="宋体"/>
          <w:color w:val="auto"/>
          <w:sz w:val="24"/>
          <w:szCs w:val="24"/>
          <w:lang w:eastAsia="zh-CN"/>
        </w:rPr>
        <w:t>处理；</w:t>
      </w:r>
      <w:r>
        <w:rPr>
          <w:rFonts w:hint="eastAsia" w:ascii="宋体" w:hAnsi="宋体" w:eastAsia="宋体" w:cs="宋体"/>
          <w:color w:val="auto"/>
          <w:sz w:val="24"/>
          <w:szCs w:val="24"/>
        </w:rPr>
        <w:t>废活性炭</w:t>
      </w:r>
      <w:r>
        <w:rPr>
          <w:rFonts w:hint="eastAsia"/>
          <w:sz w:val="24"/>
          <w:szCs w:val="24"/>
        </w:rPr>
        <w:t>属于危险废物，</w:t>
      </w:r>
      <w:r>
        <w:rPr>
          <w:rFonts w:hint="eastAsia"/>
          <w:sz w:val="24"/>
          <w:szCs w:val="24"/>
          <w:lang w:eastAsia="zh-CN"/>
        </w:rPr>
        <w:t>须严格按照《危险废物贮存污染控制</w:t>
      </w:r>
      <w:r>
        <w:rPr>
          <w:rFonts w:hint="eastAsia"/>
          <w:sz w:val="24"/>
          <w:szCs w:val="24"/>
        </w:rPr>
        <w:t>标准</w:t>
      </w:r>
      <w:r>
        <w:rPr>
          <w:rFonts w:hint="eastAsia"/>
          <w:sz w:val="24"/>
          <w:szCs w:val="24"/>
          <w:lang w:eastAsia="zh-CN"/>
        </w:rPr>
        <w:t>》（</w:t>
      </w:r>
      <w:r>
        <w:rPr>
          <w:rFonts w:hint="eastAsia"/>
          <w:sz w:val="24"/>
          <w:szCs w:val="24"/>
        </w:rPr>
        <w:t>GB</w:t>
      </w:r>
      <w:r>
        <w:rPr>
          <w:rFonts w:hint="eastAsia"/>
          <w:sz w:val="24"/>
          <w:szCs w:val="24"/>
          <w:lang w:val="en-US" w:eastAsia="zh-CN"/>
        </w:rPr>
        <w:t>18597-2001）要求管理，建立危险废物临时</w:t>
      </w:r>
      <w:r>
        <w:rPr>
          <w:rFonts w:hint="eastAsia"/>
          <w:sz w:val="24"/>
          <w:szCs w:val="24"/>
          <w:lang w:eastAsia="zh-CN"/>
        </w:rPr>
        <w:t>贮存库，危废定期交有危</w:t>
      </w:r>
      <w:r>
        <w:rPr>
          <w:rFonts w:hint="eastAsia"/>
          <w:sz w:val="24"/>
          <w:szCs w:val="24"/>
          <w:lang w:val="en-US" w:eastAsia="zh-CN"/>
        </w:rPr>
        <w:t>险</w:t>
      </w:r>
      <w:r>
        <w:rPr>
          <w:rFonts w:hint="eastAsia"/>
          <w:sz w:val="24"/>
          <w:szCs w:val="24"/>
          <w:lang w:eastAsia="zh-CN"/>
        </w:rPr>
        <w:t>废物处置资质的单位处理</w:t>
      </w:r>
      <w:r>
        <w:rPr>
          <w:rFonts w:hint="eastAsia" w:ascii="宋体" w:hAnsi="宋体" w:eastAsia="宋体" w:cs="宋体"/>
          <w:color w:val="auto"/>
          <w:sz w:val="24"/>
          <w:szCs w:val="24"/>
          <w:lang w:eastAsia="zh-CN"/>
        </w:rPr>
        <w:t>。</w:t>
      </w:r>
      <w:r>
        <w:rPr>
          <w:rFonts w:hint="eastAsia"/>
          <w:sz w:val="24"/>
          <w:szCs w:val="24"/>
        </w:rPr>
        <w:t xml:space="preserve">           </w:t>
      </w:r>
      <w:r>
        <w:rPr>
          <w:rFonts w:hint="eastAsia"/>
          <w:sz w:val="24"/>
          <w:szCs w:val="24"/>
          <w:lang w:val="en-US" w:eastAsia="zh-CN"/>
        </w:rPr>
        <w:t xml:space="preserve">                                     </w:t>
      </w:r>
    </w:p>
    <w:p>
      <w:pPr>
        <w:spacing w:line="520" w:lineRule="exact"/>
        <w:jc w:val="left"/>
        <w:rPr>
          <w:rFonts w:hint="eastAsia"/>
          <w:sz w:val="24"/>
          <w:szCs w:val="24"/>
        </w:rPr>
      </w:pPr>
      <w:r>
        <w:rPr>
          <w:rFonts w:hint="eastAsia"/>
          <w:sz w:val="24"/>
          <w:szCs w:val="24"/>
        </w:rPr>
        <w:t xml:space="preserve"> </w:t>
      </w:r>
      <w:r>
        <w:rPr>
          <w:rFonts w:hint="eastAsia"/>
          <w:sz w:val="24"/>
          <w:szCs w:val="24"/>
          <w:lang w:val="en-US" w:eastAsia="zh-CN"/>
        </w:rPr>
        <w:t>5、</w:t>
      </w:r>
      <w:r>
        <w:rPr>
          <w:rFonts w:hint="eastAsia" w:ascii="Times New Roman" w:hAnsi="Times New Roman" w:eastAsia="宋体" w:cs="Times New Roman"/>
          <w:color w:val="000000"/>
          <w:sz w:val="24"/>
          <w:szCs w:val="24"/>
          <w:lang w:val="en-US" w:eastAsia="zh-CN"/>
        </w:rPr>
        <w:t>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r>
        <w:rPr>
          <w:rFonts w:hint="eastAsia"/>
          <w:sz w:val="24"/>
          <w:szCs w:val="24"/>
        </w:rPr>
        <w:t xml:space="preserve">               </w:t>
      </w:r>
    </w:p>
    <w:p>
      <w:pPr>
        <w:spacing w:line="520" w:lineRule="exact"/>
        <w:jc w:val="both"/>
        <w:rPr>
          <w:rFonts w:hint="eastAsia"/>
          <w:sz w:val="24"/>
          <w:szCs w:val="24"/>
        </w:rPr>
      </w:pPr>
    </w:p>
    <w:p>
      <w:pPr>
        <w:spacing w:line="520" w:lineRule="exact"/>
        <w:jc w:val="left"/>
        <w:rPr>
          <w:rFonts w:hint="eastAsia" w:ascii="宋体" w:hAnsi="宋体" w:eastAsia="宋体" w:cs="宋体"/>
          <w:sz w:val="24"/>
          <w:szCs w:val="24"/>
          <w:lang w:eastAsia="zh-CN"/>
        </w:rPr>
      </w:pPr>
    </w:p>
    <w:p>
      <w:pPr>
        <w:spacing w:line="520" w:lineRule="exact"/>
        <w:jc w:val="left"/>
        <w:rPr>
          <w:rFonts w:hint="eastAsia" w:ascii="Times New Roman" w:hAnsi="Times New Roman" w:eastAsia="宋体" w:cs="Times New Roman"/>
          <w:color w:val="000000"/>
          <w:sz w:val="24"/>
          <w:szCs w:val="24"/>
          <w:lang w:val="en-US" w:eastAsia="zh-CN"/>
        </w:rPr>
      </w:pPr>
    </w:p>
    <w:p>
      <w:pPr>
        <w:spacing w:line="520" w:lineRule="exact"/>
        <w:jc w:val="left"/>
        <w:rPr>
          <w:rFonts w:hint="default" w:eastAsia="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color w:val="auto"/>
          <w:sz w:val="24"/>
          <w:szCs w:val="24"/>
          <w:lang w:eastAsia="zh-CN"/>
        </w:rPr>
      </w:pPr>
      <w:r>
        <w:rPr>
          <w:rFonts w:hint="eastAsia"/>
          <w:sz w:val="24"/>
          <w:szCs w:val="24"/>
        </w:rPr>
        <w:t xml:space="preserve">                                    </w:t>
      </w:r>
      <w:r>
        <w:rPr>
          <w:rFonts w:hint="eastAsia"/>
          <w:sz w:val="28"/>
          <w:szCs w:val="28"/>
        </w:rPr>
        <w:t xml:space="preserve">                      </w:t>
      </w:r>
      <w:r>
        <w:rPr>
          <w:rFonts w:hint="eastAsia"/>
          <w:sz w:val="24"/>
          <w:szCs w:val="24"/>
        </w:rPr>
        <w:t xml:space="preserve">          </w:t>
      </w:r>
    </w:p>
    <w:p>
      <w:pPr>
        <w:spacing w:line="520" w:lineRule="exact"/>
        <w:jc w:val="left"/>
        <w:rPr>
          <w:rFonts w:hint="default" w:ascii="Times New Roman" w:hAnsi="Times New Roman" w:cs="Times New Roman"/>
          <w:color w:val="auto"/>
          <w:sz w:val="24"/>
          <w:szCs w:val="24"/>
        </w:rPr>
      </w:pPr>
    </w:p>
    <w:p>
      <w:pPr>
        <w:spacing w:line="520" w:lineRule="exact"/>
        <w:jc w:val="left"/>
        <w:rPr>
          <w:rFonts w:hint="eastAsia" w:eastAsia="宋体"/>
          <w:lang w:eastAsia="zh-CN"/>
        </w:rPr>
      </w:pPr>
      <w:r>
        <w:rPr>
          <w:rFonts w:hint="eastAsia"/>
          <w:sz w:val="24"/>
          <w:szCs w:val="24"/>
        </w:rPr>
        <w:t xml:space="preserve">                                                                                                       </w:t>
      </w:r>
      <w:r>
        <w:rPr>
          <w:rFonts w:hint="eastAsia"/>
        </w:rPr>
        <w:t xml:space="preserve">                                              </w:t>
      </w:r>
      <w:r>
        <w:rPr>
          <w:rFonts w:hint="eastAsia"/>
          <w:sz w:val="28"/>
          <w:szCs w:val="28"/>
        </w:rPr>
        <w:t xml:space="preserve">                                                                 </w:t>
      </w:r>
      <w:r>
        <w:rPr>
          <w:rFonts w:hint="eastAsia"/>
          <w:sz w:val="24"/>
        </w:rPr>
        <w:t xml:space="preserve">    </w:t>
      </w:r>
      <w:r>
        <w:rPr>
          <w:rFonts w:hint="eastAsia"/>
          <w:sz w:val="28"/>
          <w:szCs w:val="28"/>
          <w:lang w:val="en-US" w:eastAsia="zh-CN"/>
        </w:rPr>
        <w:t xml:space="preserve">      </w:t>
      </w:r>
      <w:r>
        <w:rPr>
          <w:rFonts w:hint="eastAsia"/>
          <w:sz w:val="28"/>
          <w:szCs w:val="28"/>
        </w:rPr>
        <w:t xml:space="preserve">                                                                                    </w:t>
      </w:r>
      <w:r>
        <w:rPr>
          <w:rFonts w:hint="eastAsia"/>
          <w:sz w:val="24"/>
          <w:szCs w:val="24"/>
        </w:rPr>
        <w:t xml:space="preserve">                        </w:t>
      </w:r>
      <w:r>
        <w:rPr>
          <w:rFonts w:hint="eastAsia"/>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7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00"/>
    <w:rsid w:val="00004063"/>
    <w:rsid w:val="000B3D09"/>
    <w:rsid w:val="000B46CC"/>
    <w:rsid w:val="000C1BE1"/>
    <w:rsid w:val="00154853"/>
    <w:rsid w:val="001602E0"/>
    <w:rsid w:val="00176DFB"/>
    <w:rsid w:val="001C1180"/>
    <w:rsid w:val="001F4094"/>
    <w:rsid w:val="001F65F7"/>
    <w:rsid w:val="002062B7"/>
    <w:rsid w:val="00206748"/>
    <w:rsid w:val="00260B7E"/>
    <w:rsid w:val="0027558B"/>
    <w:rsid w:val="002C5553"/>
    <w:rsid w:val="002D4247"/>
    <w:rsid w:val="002E3FE7"/>
    <w:rsid w:val="002F6A4C"/>
    <w:rsid w:val="002F76A2"/>
    <w:rsid w:val="00306138"/>
    <w:rsid w:val="003138CB"/>
    <w:rsid w:val="00323B43"/>
    <w:rsid w:val="0034271E"/>
    <w:rsid w:val="00353D7E"/>
    <w:rsid w:val="003715D6"/>
    <w:rsid w:val="003776A6"/>
    <w:rsid w:val="003D37D8"/>
    <w:rsid w:val="003E141A"/>
    <w:rsid w:val="003F5497"/>
    <w:rsid w:val="00402760"/>
    <w:rsid w:val="004108E3"/>
    <w:rsid w:val="00414627"/>
    <w:rsid w:val="00420C28"/>
    <w:rsid w:val="004358AB"/>
    <w:rsid w:val="00446493"/>
    <w:rsid w:val="00472D15"/>
    <w:rsid w:val="0048696A"/>
    <w:rsid w:val="004C3B00"/>
    <w:rsid w:val="004C531D"/>
    <w:rsid w:val="004D3C8A"/>
    <w:rsid w:val="004D3CC0"/>
    <w:rsid w:val="004E724E"/>
    <w:rsid w:val="005072C8"/>
    <w:rsid w:val="00512F16"/>
    <w:rsid w:val="005323E7"/>
    <w:rsid w:val="00550F62"/>
    <w:rsid w:val="005730CB"/>
    <w:rsid w:val="00581E92"/>
    <w:rsid w:val="005A22C9"/>
    <w:rsid w:val="005A3C8D"/>
    <w:rsid w:val="005B371D"/>
    <w:rsid w:val="005C0888"/>
    <w:rsid w:val="005C5ED6"/>
    <w:rsid w:val="00600262"/>
    <w:rsid w:val="0061429D"/>
    <w:rsid w:val="00615C3A"/>
    <w:rsid w:val="00680411"/>
    <w:rsid w:val="006825A1"/>
    <w:rsid w:val="006874F2"/>
    <w:rsid w:val="006A6747"/>
    <w:rsid w:val="0072082B"/>
    <w:rsid w:val="007355A5"/>
    <w:rsid w:val="007570BB"/>
    <w:rsid w:val="00784FBD"/>
    <w:rsid w:val="00795A5F"/>
    <w:rsid w:val="0079628E"/>
    <w:rsid w:val="007A4B7F"/>
    <w:rsid w:val="007B2CD7"/>
    <w:rsid w:val="007C6C8C"/>
    <w:rsid w:val="007D3EF5"/>
    <w:rsid w:val="007E7464"/>
    <w:rsid w:val="00805855"/>
    <w:rsid w:val="00833BD7"/>
    <w:rsid w:val="00835949"/>
    <w:rsid w:val="00851AAE"/>
    <w:rsid w:val="00857189"/>
    <w:rsid w:val="008B7726"/>
    <w:rsid w:val="008C5D7A"/>
    <w:rsid w:val="008F3158"/>
    <w:rsid w:val="00932130"/>
    <w:rsid w:val="00937DD3"/>
    <w:rsid w:val="00970950"/>
    <w:rsid w:val="00972691"/>
    <w:rsid w:val="009B10BF"/>
    <w:rsid w:val="009B4FED"/>
    <w:rsid w:val="009B6999"/>
    <w:rsid w:val="009B6FE2"/>
    <w:rsid w:val="009C46D5"/>
    <w:rsid w:val="009D63A1"/>
    <w:rsid w:val="00A010BE"/>
    <w:rsid w:val="00A10362"/>
    <w:rsid w:val="00A33BDB"/>
    <w:rsid w:val="00A41C7F"/>
    <w:rsid w:val="00A44012"/>
    <w:rsid w:val="00A460FC"/>
    <w:rsid w:val="00A51497"/>
    <w:rsid w:val="00A54483"/>
    <w:rsid w:val="00A7198F"/>
    <w:rsid w:val="00A72520"/>
    <w:rsid w:val="00A94A91"/>
    <w:rsid w:val="00A97EEC"/>
    <w:rsid w:val="00AA01D6"/>
    <w:rsid w:val="00AC37C0"/>
    <w:rsid w:val="00B0093D"/>
    <w:rsid w:val="00B176B6"/>
    <w:rsid w:val="00B322C3"/>
    <w:rsid w:val="00B43696"/>
    <w:rsid w:val="00B56FF8"/>
    <w:rsid w:val="00BA1128"/>
    <w:rsid w:val="00BC3878"/>
    <w:rsid w:val="00BD5939"/>
    <w:rsid w:val="00C02999"/>
    <w:rsid w:val="00C02F32"/>
    <w:rsid w:val="00C039E3"/>
    <w:rsid w:val="00C24BFF"/>
    <w:rsid w:val="00C43C03"/>
    <w:rsid w:val="00C45F2F"/>
    <w:rsid w:val="00C53693"/>
    <w:rsid w:val="00C85DFB"/>
    <w:rsid w:val="00CA2C05"/>
    <w:rsid w:val="00CA4D3E"/>
    <w:rsid w:val="00CB6BAB"/>
    <w:rsid w:val="00CD14FC"/>
    <w:rsid w:val="00CF6094"/>
    <w:rsid w:val="00D34087"/>
    <w:rsid w:val="00D35066"/>
    <w:rsid w:val="00D43FA5"/>
    <w:rsid w:val="00D53A4E"/>
    <w:rsid w:val="00D573C2"/>
    <w:rsid w:val="00D913C0"/>
    <w:rsid w:val="00DE6BD1"/>
    <w:rsid w:val="00E15660"/>
    <w:rsid w:val="00E3617B"/>
    <w:rsid w:val="00E57973"/>
    <w:rsid w:val="00E92DB0"/>
    <w:rsid w:val="00EA4714"/>
    <w:rsid w:val="00EE0925"/>
    <w:rsid w:val="00F03FAC"/>
    <w:rsid w:val="00F10CB9"/>
    <w:rsid w:val="00F40126"/>
    <w:rsid w:val="00F6137D"/>
    <w:rsid w:val="00F7706B"/>
    <w:rsid w:val="00F93AA2"/>
    <w:rsid w:val="00FA4B9E"/>
    <w:rsid w:val="00FA6183"/>
    <w:rsid w:val="00FC32F1"/>
    <w:rsid w:val="00FD21E2"/>
    <w:rsid w:val="00FE1E33"/>
    <w:rsid w:val="00FF00EC"/>
    <w:rsid w:val="0117529F"/>
    <w:rsid w:val="015D3742"/>
    <w:rsid w:val="01A1354A"/>
    <w:rsid w:val="02385CEB"/>
    <w:rsid w:val="03193A9C"/>
    <w:rsid w:val="03B46906"/>
    <w:rsid w:val="055118F8"/>
    <w:rsid w:val="05F8087B"/>
    <w:rsid w:val="065E4293"/>
    <w:rsid w:val="0BA44B90"/>
    <w:rsid w:val="0C7A2837"/>
    <w:rsid w:val="0CC63425"/>
    <w:rsid w:val="0E383C72"/>
    <w:rsid w:val="0E557029"/>
    <w:rsid w:val="0F916EEA"/>
    <w:rsid w:val="124A7798"/>
    <w:rsid w:val="131B5AAF"/>
    <w:rsid w:val="141C2BD8"/>
    <w:rsid w:val="15466A07"/>
    <w:rsid w:val="15681B2D"/>
    <w:rsid w:val="16E040FF"/>
    <w:rsid w:val="17001BEA"/>
    <w:rsid w:val="189B3898"/>
    <w:rsid w:val="191159F3"/>
    <w:rsid w:val="19B13B5A"/>
    <w:rsid w:val="1A0E2D98"/>
    <w:rsid w:val="1A735F8C"/>
    <w:rsid w:val="1A825BA6"/>
    <w:rsid w:val="1CD34C2F"/>
    <w:rsid w:val="1D984EF9"/>
    <w:rsid w:val="1E480D6F"/>
    <w:rsid w:val="1EC25053"/>
    <w:rsid w:val="1F181872"/>
    <w:rsid w:val="20152E68"/>
    <w:rsid w:val="203F19FB"/>
    <w:rsid w:val="20837BFB"/>
    <w:rsid w:val="20B37B29"/>
    <w:rsid w:val="219C4635"/>
    <w:rsid w:val="220D4669"/>
    <w:rsid w:val="22226581"/>
    <w:rsid w:val="2225624E"/>
    <w:rsid w:val="23C456FD"/>
    <w:rsid w:val="23FC78AD"/>
    <w:rsid w:val="25743D65"/>
    <w:rsid w:val="26F60B16"/>
    <w:rsid w:val="272A08AB"/>
    <w:rsid w:val="28117997"/>
    <w:rsid w:val="291E3429"/>
    <w:rsid w:val="2ADD3DE8"/>
    <w:rsid w:val="2B1A5E23"/>
    <w:rsid w:val="2B4D1C90"/>
    <w:rsid w:val="2B625622"/>
    <w:rsid w:val="2CD70CBE"/>
    <w:rsid w:val="2D3C4290"/>
    <w:rsid w:val="2DDB1B50"/>
    <w:rsid w:val="2E0A13A1"/>
    <w:rsid w:val="2F1B2792"/>
    <w:rsid w:val="2FAF53EA"/>
    <w:rsid w:val="2FB35E54"/>
    <w:rsid w:val="32FB0D08"/>
    <w:rsid w:val="3458090B"/>
    <w:rsid w:val="347128D1"/>
    <w:rsid w:val="34807DF3"/>
    <w:rsid w:val="35523D23"/>
    <w:rsid w:val="35A6461D"/>
    <w:rsid w:val="36062F23"/>
    <w:rsid w:val="36270B00"/>
    <w:rsid w:val="36CE1712"/>
    <w:rsid w:val="3724243C"/>
    <w:rsid w:val="375544E4"/>
    <w:rsid w:val="383502C7"/>
    <w:rsid w:val="38861670"/>
    <w:rsid w:val="3B1C0923"/>
    <w:rsid w:val="3C2D222F"/>
    <w:rsid w:val="3F005B5B"/>
    <w:rsid w:val="3F256FEA"/>
    <w:rsid w:val="408C18CA"/>
    <w:rsid w:val="41242AB2"/>
    <w:rsid w:val="426B5D85"/>
    <w:rsid w:val="435F68E0"/>
    <w:rsid w:val="43E75E37"/>
    <w:rsid w:val="44961F11"/>
    <w:rsid w:val="470E3A01"/>
    <w:rsid w:val="47244A5D"/>
    <w:rsid w:val="47391C1B"/>
    <w:rsid w:val="478C304E"/>
    <w:rsid w:val="47952B67"/>
    <w:rsid w:val="47E7263C"/>
    <w:rsid w:val="48B84F82"/>
    <w:rsid w:val="498C0C76"/>
    <w:rsid w:val="4AC10A65"/>
    <w:rsid w:val="4B11004C"/>
    <w:rsid w:val="4B64143C"/>
    <w:rsid w:val="4B6B7EE0"/>
    <w:rsid w:val="4C6F4CCC"/>
    <w:rsid w:val="4D446FD9"/>
    <w:rsid w:val="4E7E147C"/>
    <w:rsid w:val="4EC771BC"/>
    <w:rsid w:val="507438A3"/>
    <w:rsid w:val="507A6490"/>
    <w:rsid w:val="50E502D0"/>
    <w:rsid w:val="5136366F"/>
    <w:rsid w:val="51AD28D4"/>
    <w:rsid w:val="51EE6859"/>
    <w:rsid w:val="53A42F94"/>
    <w:rsid w:val="54C95EDF"/>
    <w:rsid w:val="54F40375"/>
    <w:rsid w:val="57960004"/>
    <w:rsid w:val="58C23CF9"/>
    <w:rsid w:val="58CD3C7B"/>
    <w:rsid w:val="59501EAA"/>
    <w:rsid w:val="59761E8E"/>
    <w:rsid w:val="59D21B9C"/>
    <w:rsid w:val="59F9295A"/>
    <w:rsid w:val="5A8E0490"/>
    <w:rsid w:val="5ADC2D8D"/>
    <w:rsid w:val="5B2974EE"/>
    <w:rsid w:val="5C960A86"/>
    <w:rsid w:val="5E086033"/>
    <w:rsid w:val="5E494904"/>
    <w:rsid w:val="5EB35AA6"/>
    <w:rsid w:val="5FEB595B"/>
    <w:rsid w:val="60C16561"/>
    <w:rsid w:val="61386B1A"/>
    <w:rsid w:val="648A502D"/>
    <w:rsid w:val="653821E5"/>
    <w:rsid w:val="656A7684"/>
    <w:rsid w:val="65A0019C"/>
    <w:rsid w:val="665E55DB"/>
    <w:rsid w:val="671549E8"/>
    <w:rsid w:val="69645A82"/>
    <w:rsid w:val="6A04352E"/>
    <w:rsid w:val="6A4E74C0"/>
    <w:rsid w:val="6BAE74E0"/>
    <w:rsid w:val="6D5E69B9"/>
    <w:rsid w:val="6EE95AB9"/>
    <w:rsid w:val="71326B70"/>
    <w:rsid w:val="731237DC"/>
    <w:rsid w:val="7385723A"/>
    <w:rsid w:val="74256CB4"/>
    <w:rsid w:val="74963954"/>
    <w:rsid w:val="754B58DF"/>
    <w:rsid w:val="757431BA"/>
    <w:rsid w:val="7576748A"/>
    <w:rsid w:val="75ED344D"/>
    <w:rsid w:val="76040C99"/>
    <w:rsid w:val="7775099F"/>
    <w:rsid w:val="782B2660"/>
    <w:rsid w:val="78435757"/>
    <w:rsid w:val="78A15CA9"/>
    <w:rsid w:val="78CA6879"/>
    <w:rsid w:val="7B2C1A70"/>
    <w:rsid w:val="7D72178D"/>
    <w:rsid w:val="7D9E6B31"/>
    <w:rsid w:val="7E4B4CE4"/>
    <w:rsid w:val="7F89753B"/>
    <w:rsid w:val="7FEE60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pPr>
    <w:rPr>
      <w:rFonts w:ascii="Tahoma" w:hAnsi="Tahoma" w:eastAsia="宋体" w:cs="Tahoma"/>
      <w:sz w:val="21"/>
      <w:szCs w:val="21"/>
      <w:lang w:val="en-US" w:eastAsia="zh-CN" w:bidi="ar-SA"/>
    </w:rPr>
  </w:style>
  <w:style w:type="paragraph" w:styleId="3">
    <w:name w:val="heading 3"/>
    <w:basedOn w:val="1"/>
    <w:next w:val="1"/>
    <w:qFormat/>
    <w:locked/>
    <w:uiPriority w:val="0"/>
    <w:pPr>
      <w:keepNext/>
      <w:keepLines/>
      <w:spacing w:before="260" w:after="260" w:line="412" w:lineRule="auto"/>
      <w:outlineLvl w:val="2"/>
    </w:pPr>
    <w:rPr>
      <w:rFonts w:ascii="黑体" w:eastAsia="黑体" w:cs="宋体"/>
      <w:b/>
      <w:sz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样式9"/>
    <w:basedOn w:val="1"/>
    <w:qFormat/>
    <w:uiPriority w:val="0"/>
    <w:pPr>
      <w:adjustRightInd w:val="0"/>
      <w:snapToGrid w:val="0"/>
      <w:spacing w:line="460" w:lineRule="exact"/>
      <w:ind w:firstLine="520" w:firstLineChars="200"/>
    </w:pPr>
    <w:rPr>
      <w:sz w:val="26"/>
      <w:szCs w:val="26"/>
    </w:rPr>
  </w:style>
  <w:style w:type="paragraph" w:styleId="4">
    <w:name w:val="footer"/>
    <w:basedOn w:val="1"/>
    <w:link w:val="12"/>
    <w:semiHidden/>
    <w:qFormat/>
    <w:uiPriority w:val="99"/>
    <w:pPr>
      <w:tabs>
        <w:tab w:val="center" w:pos="4153"/>
        <w:tab w:val="right" w:pos="8306"/>
      </w:tabs>
      <w:spacing w:line="240" w:lineRule="atLeas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color w:val="FF6600"/>
      <w:kern w:val="0"/>
      <w:sz w:val="24"/>
      <w:u w:val="single"/>
      <w:lang w:val="en-US" w:eastAsia="zh-CN" w:bidi="ar"/>
    </w:rPr>
  </w:style>
  <w:style w:type="character" w:styleId="9">
    <w:name w:val="FollowedHyperlink"/>
    <w:basedOn w:val="8"/>
    <w:unhideWhenUsed/>
    <w:qFormat/>
    <w:uiPriority w:val="99"/>
    <w:rPr>
      <w:rFonts w:hint="eastAsia" w:ascii="宋体" w:hAnsi="宋体" w:eastAsia="宋体" w:cs="宋体"/>
      <w:color w:val="000000"/>
      <w:sz w:val="18"/>
      <w:szCs w:val="18"/>
      <w:u w:val="none"/>
    </w:rPr>
  </w:style>
  <w:style w:type="character" w:styleId="10">
    <w:name w:val="Hyperlink"/>
    <w:basedOn w:val="8"/>
    <w:unhideWhenUsed/>
    <w:qFormat/>
    <w:uiPriority w:val="99"/>
    <w:rPr>
      <w:rFonts w:hint="eastAsia" w:ascii="宋体" w:hAnsi="宋体" w:eastAsia="宋体" w:cs="宋体"/>
      <w:color w:val="000000"/>
      <w:sz w:val="18"/>
      <w:szCs w:val="18"/>
      <w:u w:val="none"/>
    </w:rPr>
  </w:style>
  <w:style w:type="character" w:customStyle="1" w:styleId="11">
    <w:name w:val="页眉 Char"/>
    <w:basedOn w:val="8"/>
    <w:link w:val="5"/>
    <w:semiHidden/>
    <w:qFormat/>
    <w:locked/>
    <w:uiPriority w:val="99"/>
    <w:rPr>
      <w:rFonts w:ascii="Tahoma" w:hAnsi="Tahoma" w:eastAsia="宋体" w:cs="Tahoma"/>
      <w:sz w:val="18"/>
      <w:szCs w:val="18"/>
    </w:rPr>
  </w:style>
  <w:style w:type="character" w:customStyle="1" w:styleId="12">
    <w:name w:val="页脚 Char"/>
    <w:basedOn w:val="8"/>
    <w:link w:val="4"/>
    <w:semiHidden/>
    <w:qFormat/>
    <w:locked/>
    <w:uiPriority w:val="99"/>
    <w:rPr>
      <w:rFonts w:ascii="Tahoma" w:hAnsi="Tahoma" w:eastAsia="宋体" w:cs="Tahoma"/>
      <w:sz w:val="18"/>
      <w:szCs w:val="18"/>
    </w:rPr>
  </w:style>
  <w:style w:type="character" w:customStyle="1" w:styleId="13">
    <w:name w:val="apple-converted-space"/>
    <w:basedOn w:val="8"/>
    <w:qFormat/>
    <w:uiPriority w:val="0"/>
  </w:style>
  <w:style w:type="character" w:customStyle="1" w:styleId="14">
    <w:name w:val="picview"/>
    <w:basedOn w:val="8"/>
    <w:qFormat/>
    <w:uiPriority w:val="0"/>
  </w:style>
  <w:style w:type="character" w:customStyle="1" w:styleId="15">
    <w:name w:val="picview1"/>
    <w:basedOn w:val="8"/>
    <w:qFormat/>
    <w:uiPriority w:val="0"/>
  </w:style>
  <w:style w:type="character" w:customStyle="1" w:styleId="16">
    <w:name w:val="right-side"/>
    <w:basedOn w:val="8"/>
    <w:qFormat/>
    <w:uiPriority w:val="0"/>
  </w:style>
  <w:style w:type="character" w:customStyle="1" w:styleId="17">
    <w:name w:val="right-line"/>
    <w:basedOn w:val="8"/>
    <w:qFormat/>
    <w:uiPriority w:val="0"/>
    <w:rPr>
      <w:shd w:val="clear" w:fill="D0D0D0"/>
    </w:rPr>
  </w:style>
  <w:style w:type="paragraph" w:customStyle="1" w:styleId="18">
    <w:name w:val="_Style 15"/>
    <w:basedOn w:val="1"/>
    <w:next w:val="1"/>
    <w:qFormat/>
    <w:uiPriority w:val="0"/>
    <w:pPr>
      <w:pBdr>
        <w:bottom w:val="single" w:color="auto" w:sz="6" w:space="1"/>
      </w:pBdr>
      <w:jc w:val="center"/>
    </w:pPr>
    <w:rPr>
      <w:rFonts w:ascii="Arial" w:eastAsia="宋体"/>
      <w:vanish/>
      <w:sz w:val="16"/>
    </w:rPr>
  </w:style>
  <w:style w:type="paragraph" w:customStyle="1" w:styleId="19">
    <w:name w:val="_Style 16"/>
    <w:basedOn w:val="1"/>
    <w:next w:val="1"/>
    <w:qFormat/>
    <w:uiPriority w:val="0"/>
    <w:pPr>
      <w:pBdr>
        <w:top w:val="single" w:color="auto" w:sz="6" w:space="1"/>
      </w:pBdr>
      <w:jc w:val="center"/>
    </w:pPr>
    <w:rPr>
      <w:rFonts w:ascii="Arial" w:eastAsia="宋体"/>
      <w:vanish/>
      <w:sz w:val="16"/>
    </w:rPr>
  </w:style>
  <w:style w:type="paragraph" w:customStyle="1" w:styleId="20">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227</Words>
  <Characters>1296</Characters>
  <Lines>10</Lines>
  <Paragraphs>3</Paragraphs>
  <TotalTime>1</TotalTime>
  <ScaleCrop>false</ScaleCrop>
  <LinksUpToDate>false</LinksUpToDate>
  <CharactersWithSpaces>1520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2016-09-27T09:20:00Z</dcterms:created>
  <dc:creator>dreamsummit</dc:creator>
  <cp:lastModifiedBy>Administrator</cp:lastModifiedBy>
  <cp:lastPrinted>2020-01-14T07:46:03Z</cp:lastPrinted>
  <dcterms:modified xsi:type="dcterms:W3CDTF">2020-01-14T07:46:18Z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